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cs="Times New Roman"/>
        </w:rPr>
      </w:pPr>
      <w:bookmarkStart w:id="0" w:name="_GoBack"/>
      <w:bookmarkEnd w:id="0"/>
    </w:p>
    <w:p>
      <w:pPr>
        <w:pStyle w:val="10"/>
        <w:spacing w:line="560" w:lineRule="exact"/>
        <w:rPr>
          <w:rFonts w:cs="Times New Roman"/>
        </w:rPr>
      </w:pPr>
    </w:p>
    <w:p>
      <w:pPr>
        <w:spacing w:line="560" w:lineRule="exact"/>
        <w:rPr>
          <w:rFonts w:cs="Times New Roman"/>
        </w:rPr>
      </w:pPr>
    </w:p>
    <w:p>
      <w:pPr>
        <w:spacing w:line="560" w:lineRule="exact"/>
        <w:ind w:firstLine="641"/>
        <w:jc w:val="center"/>
        <w:rPr>
          <w:rFonts w:cs="Times New Roman"/>
        </w:rPr>
      </w:pPr>
    </w:p>
    <w:p>
      <w:pPr>
        <w:spacing w:line="560" w:lineRule="exact"/>
        <w:ind w:firstLine="641"/>
        <w:jc w:val="center"/>
        <w:rPr>
          <w:rFonts w:cs="Times New Roman"/>
        </w:rPr>
      </w:pPr>
    </w:p>
    <w:p>
      <w:pPr>
        <w:spacing w:line="560" w:lineRule="exact"/>
        <w:jc w:val="center"/>
        <w:rPr>
          <w:rFonts w:ascii="方正仿宋_GBK" w:eastAsia="方正仿宋_GBK" w:cs="Times New Roman"/>
          <w:sz w:val="32"/>
          <w:szCs w:val="32"/>
        </w:rPr>
      </w:pPr>
      <w:r>
        <w:rPr>
          <w:rFonts w:hint="eastAsia" w:ascii="方正仿宋_GBK" w:eastAsia="方正仿宋_GBK" w:cs="方正仿宋_GBK"/>
          <w:sz w:val="32"/>
          <w:szCs w:val="32"/>
        </w:rPr>
        <w:t>城西办事处发﹝</w:t>
      </w:r>
      <w:r>
        <w:rPr>
          <w:rFonts w:ascii="方正仿宋_GBK" w:eastAsia="方正仿宋_GBK" w:cs="方正仿宋_GBK"/>
          <w:sz w:val="32"/>
          <w:szCs w:val="32"/>
        </w:rPr>
        <w:t>20</w:t>
      </w:r>
      <w:r>
        <w:rPr>
          <w:rFonts w:hint="eastAsia" w:ascii="方正仿宋_GBK" w:eastAsia="方正仿宋_GBK" w:cs="方正仿宋_GBK"/>
          <w:sz w:val="32"/>
          <w:szCs w:val="32"/>
        </w:rPr>
        <w:t>22﹞23号</w:t>
      </w:r>
    </w:p>
    <w:p>
      <w:pPr>
        <w:spacing w:line="580" w:lineRule="exact"/>
        <w:rPr>
          <w:rFonts w:eastAsia="方正小标宋_GBK" w:cs="Times New Roman"/>
          <w:sz w:val="44"/>
          <w:szCs w:val="44"/>
        </w:rPr>
      </w:pPr>
    </w:p>
    <w:p>
      <w:pPr>
        <w:spacing w:line="520" w:lineRule="exact"/>
        <w:jc w:val="center"/>
        <w:rPr>
          <w:rFonts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宋体" w:eastAsia="方正小标宋_GBK" w:cs="宋体"/>
          <w:sz w:val="44"/>
          <w:szCs w:val="44"/>
        </w:rPr>
        <w:t>黔江区人民政府城西街道办事处</w:t>
      </w:r>
    </w:p>
    <w:p>
      <w:pPr>
        <w:widowControl/>
        <w:spacing w:line="520" w:lineRule="exact"/>
        <w:jc w:val="center"/>
        <w:rPr>
          <w:rFonts w:ascii="方正小标宋_GBK" w:hAnsi="宋体" w:eastAsia="方正小标宋_GBK" w:cs="宋体"/>
          <w:spacing w:val="-20"/>
          <w:sz w:val="44"/>
          <w:szCs w:val="44"/>
        </w:rPr>
      </w:pPr>
      <w:r>
        <w:rPr>
          <w:rFonts w:hint="eastAsia" w:ascii="方正小标宋_GBK" w:hAnsi="宋体" w:eastAsia="方正小标宋_GBK" w:cs="宋体"/>
          <w:spacing w:val="-20"/>
          <w:sz w:val="44"/>
          <w:szCs w:val="44"/>
        </w:rPr>
        <w:t>关于印发《</w:t>
      </w:r>
      <w:r>
        <w:rPr>
          <w:rFonts w:hint="eastAsia" w:ascii="方正小标宋_GBK" w:hAnsi="Verdana" w:eastAsia="方正小标宋_GBK" w:cs="宋体"/>
          <w:bCs/>
          <w:color w:val="000000"/>
          <w:kern w:val="0"/>
          <w:sz w:val="44"/>
          <w:szCs w:val="44"/>
        </w:rPr>
        <w:t>2022</w:t>
      </w:r>
      <w:r>
        <w:rPr>
          <w:rFonts w:hint="eastAsia" w:ascii="方正小标宋_GBK" w:hAnsi="宋体" w:eastAsia="方正小标宋_GBK" w:cs="宋体"/>
          <w:bCs/>
          <w:color w:val="000000"/>
          <w:kern w:val="0"/>
          <w:sz w:val="44"/>
          <w:szCs w:val="44"/>
        </w:rPr>
        <w:t>年粮食安全工作实施方案</w:t>
      </w:r>
      <w:r>
        <w:rPr>
          <w:rFonts w:hint="eastAsia" w:ascii="方正小标宋_GBK" w:hAnsi="宋体" w:eastAsia="方正小标宋_GBK" w:cs="宋体"/>
          <w:sz w:val="44"/>
          <w:szCs w:val="44"/>
        </w:rPr>
        <w:t>》</w:t>
      </w:r>
      <w:r>
        <w:rPr>
          <w:rFonts w:hint="eastAsia" w:ascii="方正小标宋_GBK" w:hAnsi="宋体" w:eastAsia="方正小标宋_GBK" w:cs="宋体"/>
          <w:spacing w:val="-20"/>
          <w:sz w:val="44"/>
          <w:szCs w:val="44"/>
        </w:rPr>
        <w:t>的</w:t>
      </w:r>
    </w:p>
    <w:p>
      <w:pPr>
        <w:widowControl/>
        <w:spacing w:line="520" w:lineRule="exact"/>
        <w:jc w:val="center"/>
        <w:rPr>
          <w:rFonts w:ascii="方正小标宋_GBK" w:hAnsi="宋体" w:eastAsia="方正小标宋_GBK" w:cs="宋体"/>
          <w:spacing w:val="-20"/>
          <w:sz w:val="44"/>
          <w:szCs w:val="44"/>
        </w:rPr>
      </w:pPr>
      <w:r>
        <w:rPr>
          <w:rFonts w:hint="eastAsia" w:ascii="方正小标宋_GBK" w:hAnsi="宋体" w:eastAsia="方正小标宋_GBK" w:cs="宋体"/>
          <w:sz w:val="44"/>
          <w:szCs w:val="44"/>
        </w:rPr>
        <w:t>通   知</w:t>
      </w:r>
    </w:p>
    <w:p>
      <w:pPr>
        <w:spacing w:line="520" w:lineRule="exact"/>
        <w:rPr>
          <w:rFonts w:ascii="仿宋_GB2312" w:hAnsi="方正仿宋_GBK" w:eastAsia="仿宋_GB2312" w:cs="方正仿宋_GBK"/>
          <w:sz w:val="32"/>
          <w:szCs w:val="32"/>
        </w:rPr>
      </w:pPr>
    </w:p>
    <w:p>
      <w:pPr>
        <w:spacing w:line="520" w:lineRule="exact"/>
        <w:rPr>
          <w:rFonts w:ascii="方正仿宋_GBK" w:hAnsi="方正仿宋_GBK" w:eastAsia="方正仿宋_GBK" w:cs="方正仿宋_GBK"/>
          <w:color w:val="000000" w:themeColor="text1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</w:rPr>
        <w:t>各社区（村）、各科室、站所、街属各部门：</w:t>
      </w:r>
    </w:p>
    <w:p>
      <w:pPr>
        <w:widowControl/>
        <w:spacing w:line="520" w:lineRule="exact"/>
        <w:ind w:firstLine="627" w:firstLineChars="196"/>
        <w:jc w:val="left"/>
        <w:rPr>
          <w:rFonts w:ascii="方正仿宋_GBK" w:hAnsi="方正仿宋_GBK" w:eastAsia="方正仿宋_GBK" w:cs="方正仿宋_GBK"/>
          <w:color w:val="000000" w:themeColor="text1"/>
          <w:kern w:val="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000000" w:themeColor="text1"/>
          <w:kern w:val="0"/>
          <w:sz w:val="32"/>
          <w:szCs w:val="32"/>
        </w:rPr>
        <w:t>粮食安全工作在领导的高度重视下，认真贯彻落实《安全生产法》，坚持“安全第一、预防为主、综合治理”的方针，从落实责任抓起，抓落实、抓效果，加强粮食安全生产工作。落实安全生产责任，扎实做好2022年粮食安全监管工作，促进农产品稳产保供，推动农业高质量发展。结合我街实际，特制定《城西街道2022年粮食安全监管工作实施方案》， 现印发你们，请遵照执行。</w:t>
      </w:r>
    </w:p>
    <w:p>
      <w:pPr>
        <w:widowControl/>
        <w:spacing w:line="520" w:lineRule="exact"/>
        <w:ind w:firstLine="4160"/>
        <w:jc w:val="left"/>
        <w:rPr>
          <w:rFonts w:ascii="方正仿宋_GBK" w:hAnsi="方正仿宋_GBK" w:eastAsia="方正仿宋_GBK" w:cs="方正仿宋_GBK"/>
          <w:color w:val="000000" w:themeColor="text1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000000" w:themeColor="text1"/>
          <w:kern w:val="0"/>
          <w:sz w:val="32"/>
          <w:szCs w:val="32"/>
        </w:rPr>
        <w:t> </w:t>
      </w:r>
    </w:p>
    <w:p>
      <w:pPr>
        <w:spacing w:line="520" w:lineRule="exact"/>
        <w:ind w:firstLine="3360" w:firstLineChars="1050"/>
        <w:rPr>
          <w:rFonts w:ascii="方正仿宋_GBK" w:hAnsi="方正仿宋_GBK" w:eastAsia="方正仿宋_GBK" w:cs="方正仿宋_GBK"/>
          <w:color w:val="000000" w:themeColor="text1"/>
          <w:sz w:val="32"/>
          <w:szCs w:val="32"/>
        </w:rPr>
      </w:pPr>
    </w:p>
    <w:p>
      <w:pPr>
        <w:spacing w:line="520" w:lineRule="exact"/>
        <w:jc w:val="center"/>
        <w:rPr>
          <w:rFonts w:ascii="方正仿宋_GBK" w:hAnsi="方正仿宋_GBK" w:eastAsia="方正仿宋_GBK" w:cs="方正仿宋_GBK"/>
          <w:color w:val="000000" w:themeColor="text1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</w:rPr>
        <w:t xml:space="preserve">              黔江区人民政府城西街道办事处</w:t>
      </w:r>
    </w:p>
    <w:p>
      <w:pPr>
        <w:spacing w:line="520" w:lineRule="exact"/>
        <w:jc w:val="center"/>
        <w:rPr>
          <w:rFonts w:ascii="方正仿宋_GBK" w:hAnsi="方正仿宋_GBK" w:eastAsia="方正仿宋_GBK" w:cs="方正仿宋_GBK"/>
          <w:color w:val="000000" w:themeColor="text1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</w:rPr>
        <w:t xml:space="preserve">             2022年3月10日</w:t>
      </w:r>
    </w:p>
    <w:p>
      <w:pPr>
        <w:pStyle w:val="2"/>
        <w:spacing w:before="240"/>
        <w:ind w:firstLine="750" w:firstLineChars="250"/>
        <w:rPr>
          <w:sz w:val="30"/>
          <w:szCs w:val="30"/>
        </w:rPr>
      </w:pPr>
      <w:r>
        <w:rPr>
          <w:rFonts w:hint="eastAsia"/>
          <w:sz w:val="30"/>
          <w:szCs w:val="30"/>
        </w:rPr>
        <w:t>(此件公开发布)</w:t>
      </w:r>
    </w:p>
    <w:p>
      <w:pPr>
        <w:widowControl/>
        <w:spacing w:line="500" w:lineRule="exact"/>
        <w:jc w:val="center"/>
        <w:rPr>
          <w:rFonts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城西街道2022年粮食生产安全工作方案</w:t>
      </w:r>
    </w:p>
    <w:p>
      <w:pPr>
        <w:spacing w:line="500" w:lineRule="exact"/>
        <w:rPr>
          <w:rFonts w:ascii="方正仿宋_GBK" w:eastAsia="方正仿宋_GBK"/>
          <w:sz w:val="32"/>
          <w:szCs w:val="32"/>
        </w:rPr>
      </w:pPr>
    </w:p>
    <w:p>
      <w:pPr>
        <w:spacing w:line="500" w:lineRule="exact"/>
        <w:ind w:firstLine="640" w:firstLineChars="200"/>
        <w:rPr>
          <w:rFonts w:ascii="方正仿宋_GBK" w:eastAsia="方正仿宋_GBK"/>
          <w:sz w:val="32"/>
          <w:szCs w:val="32"/>
        </w:rPr>
      </w:pPr>
      <w:r>
        <w:rPr>
          <w:rFonts w:hint="eastAsia" w:ascii="方正仿宋_GBK" w:eastAsia="方正仿宋_GBK"/>
          <w:sz w:val="32"/>
          <w:szCs w:val="32"/>
        </w:rPr>
        <w:t>为扎实做好全街2022年粮食安全生产工作，确保按量保质完成全年粮食生产任务，结合我街实际，特制定本方案。</w:t>
      </w:r>
    </w:p>
    <w:p>
      <w:pPr>
        <w:spacing w:line="500" w:lineRule="exact"/>
        <w:ind w:firstLine="640" w:firstLineChars="200"/>
        <w:rPr>
          <w:rFonts w:ascii="方正黑体_GBK" w:hAnsi="方正黑体_GBK" w:eastAsia="方正黑体_GBK" w:cs="方正黑体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一、组织机构</w:t>
      </w:r>
    </w:p>
    <w:p>
      <w:pPr>
        <w:spacing w:line="500" w:lineRule="exact"/>
        <w:ind w:firstLine="640" w:firstLineChars="200"/>
        <w:rPr>
          <w:rFonts w:ascii="方正仿宋_GBK" w:eastAsia="方正仿宋_GBK"/>
          <w:sz w:val="32"/>
          <w:szCs w:val="32"/>
        </w:rPr>
      </w:pPr>
      <w:r>
        <w:rPr>
          <w:rFonts w:hint="eastAsia" w:ascii="方正仿宋_GBK" w:eastAsia="方正仿宋_GBK"/>
          <w:sz w:val="32"/>
          <w:szCs w:val="32"/>
        </w:rPr>
        <w:t>成立由分管农业的领导任副组长，街道农业服务中心主任、各科室负责人为成员的粮食生产工作领导小组，负责全街粮食安全生产的具体安排部署、综合协调、监督检查，社区（村）干部积极配合，保障粮食安全生产工作落到实处。</w:t>
      </w:r>
    </w:p>
    <w:p>
      <w:pPr>
        <w:spacing w:line="500" w:lineRule="exact"/>
        <w:ind w:firstLine="640" w:firstLineChars="200"/>
        <w:rPr>
          <w:rFonts w:ascii="方正黑体_GBK" w:hAnsi="方正黑体_GBK" w:eastAsia="方正黑体_GBK" w:cs="方正黑体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二、目标任务</w:t>
      </w:r>
    </w:p>
    <w:p>
      <w:pPr>
        <w:spacing w:line="500" w:lineRule="exact"/>
        <w:ind w:firstLine="640" w:firstLineChars="200"/>
        <w:rPr>
          <w:rFonts w:ascii="方正仿宋_GBK" w:eastAsia="方正仿宋_GBK"/>
          <w:sz w:val="32"/>
          <w:szCs w:val="32"/>
        </w:rPr>
      </w:pPr>
      <w:r>
        <w:rPr>
          <w:rFonts w:hint="eastAsia" w:ascii="方正仿宋_GBK" w:eastAsia="方正仿宋_GBK"/>
          <w:sz w:val="32"/>
          <w:szCs w:val="32"/>
        </w:rPr>
        <w:t>2022年全街计划完成粮油播种面积11096亩，粮食产量3802.8吨，其中主要粮食播种面积：水稻播种面积2150亩、玉米播种面积2650亩、红苕播种面积3350亩、小春粮食面积2250亩。全街撂荒地复垦100%</w:t>
      </w:r>
    </w:p>
    <w:p>
      <w:pPr>
        <w:spacing w:line="500" w:lineRule="exact"/>
        <w:ind w:firstLine="640" w:firstLineChars="200"/>
        <w:rPr>
          <w:rFonts w:ascii="方正黑体_GBK" w:hAnsi="方正黑体_GBK" w:eastAsia="方正黑体_GBK" w:cs="方正黑体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三、重点工作</w:t>
      </w:r>
    </w:p>
    <w:p>
      <w:pPr>
        <w:spacing w:line="500" w:lineRule="exact"/>
        <w:ind w:firstLine="640" w:firstLineChars="200"/>
        <w:rPr>
          <w:rFonts w:ascii="方正楷体_GBK" w:hAnsi="方正楷体_GBK" w:eastAsia="方正楷体_GBK" w:cs="方正楷体_GBK"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sz w:val="32"/>
          <w:szCs w:val="32"/>
        </w:rPr>
        <w:t>（一）全面完成粮食生产任务</w:t>
      </w:r>
    </w:p>
    <w:p>
      <w:pPr>
        <w:spacing w:line="500" w:lineRule="exact"/>
        <w:ind w:firstLine="640" w:firstLineChars="200"/>
        <w:rPr>
          <w:rFonts w:ascii="方正仿宋_GBK" w:eastAsia="方正仿宋_GBK"/>
          <w:sz w:val="32"/>
          <w:szCs w:val="32"/>
        </w:rPr>
      </w:pPr>
      <w:r>
        <w:rPr>
          <w:rFonts w:hint="eastAsia" w:ascii="方正仿宋_GBK" w:eastAsia="方正仿宋_GBK"/>
          <w:sz w:val="32"/>
          <w:szCs w:val="32"/>
        </w:rPr>
        <w:t>各社区（村）要提高政治站位，统一思想和行动，切实抓好大春粮食生产工作，要担负起主体责任，加强对大春生产工作的领导，抓紧、抓实、抓细各项措施。要早谋划、早部署、早动员早落实，制定相应措施。要将粮食生产目标任务分解下达到各组各户，确保完成今年的目标任务。</w:t>
      </w:r>
    </w:p>
    <w:p>
      <w:pPr>
        <w:spacing w:line="500" w:lineRule="exact"/>
        <w:ind w:firstLine="640" w:firstLineChars="200"/>
        <w:rPr>
          <w:rFonts w:ascii="方正楷体_GBK" w:hAnsi="方正楷体_GBK" w:eastAsia="方正楷体_GBK" w:cs="方正楷体_GBK"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sz w:val="32"/>
          <w:szCs w:val="32"/>
        </w:rPr>
        <w:t>（二）全面制止耕地撂荒</w:t>
      </w:r>
    </w:p>
    <w:p>
      <w:pPr>
        <w:spacing w:line="500" w:lineRule="exact"/>
        <w:ind w:firstLine="640" w:firstLineChars="200"/>
        <w:rPr>
          <w:rFonts w:ascii="方正仿宋_GBK" w:eastAsia="方正仿宋_GBK"/>
          <w:sz w:val="32"/>
          <w:szCs w:val="32"/>
        </w:rPr>
      </w:pPr>
      <w:r>
        <w:rPr>
          <w:rFonts w:hint="eastAsia" w:ascii="方正仿宋_GBK" w:eastAsia="方正仿宋_GBK"/>
          <w:sz w:val="32"/>
          <w:szCs w:val="32"/>
        </w:rPr>
        <w:t>各社区（村）要切实担负起制止耕地撂荒的属地责任，形成由主要领导亲自抓，分管领导对安全生产工作组织实施和综合管理监督责任。压实治理责任，建好治理台账，确保耕地不出现撂荒的现象。</w:t>
      </w:r>
    </w:p>
    <w:p>
      <w:pPr>
        <w:spacing w:line="500" w:lineRule="exact"/>
        <w:ind w:firstLine="640" w:firstLineChars="200"/>
        <w:rPr>
          <w:rFonts w:ascii="方正楷体_GBK" w:hAnsi="方正楷体_GBK" w:eastAsia="方正楷体_GBK" w:cs="方正楷体_GBK"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sz w:val="32"/>
          <w:szCs w:val="32"/>
        </w:rPr>
        <w:t>（三）优化技术，提升产量。</w:t>
      </w:r>
    </w:p>
    <w:p>
      <w:pPr>
        <w:spacing w:line="500" w:lineRule="exact"/>
        <w:ind w:firstLine="640" w:firstLineChars="200"/>
        <w:rPr>
          <w:rFonts w:ascii="方正仿宋_GBK" w:eastAsia="方正仿宋_GBK"/>
          <w:sz w:val="32"/>
          <w:szCs w:val="32"/>
        </w:rPr>
      </w:pPr>
      <w:r>
        <w:rPr>
          <w:rFonts w:hint="eastAsia" w:ascii="方正仿宋_GBK" w:eastAsia="方正仿宋_GBK"/>
          <w:sz w:val="32"/>
          <w:szCs w:val="32"/>
        </w:rPr>
        <w:t>1、统筹规划种植布局。根据各社区（村）光、温、水资源条件，切实抓好粮食种收协调、作物套作，提高土地利用率，进一步强化撂荒地、空闲田土治理，增加播种面积。及时储备、调剂粮食生产所需的种子、肥料、农药等物资。加强信息服务，积极引导农民根据市场所需、政府统筹安排，合理选择种植作物。</w:t>
      </w:r>
    </w:p>
    <w:p>
      <w:pPr>
        <w:spacing w:line="500" w:lineRule="exact"/>
        <w:ind w:firstLine="640" w:firstLineChars="200"/>
        <w:rPr>
          <w:rFonts w:ascii="方正仿宋_GBK" w:eastAsia="方正仿宋_GBK"/>
          <w:sz w:val="32"/>
          <w:szCs w:val="32"/>
        </w:rPr>
      </w:pPr>
      <w:r>
        <w:rPr>
          <w:rFonts w:hint="eastAsia" w:ascii="方正仿宋_GBK" w:eastAsia="方正仿宋_GBK"/>
          <w:sz w:val="32"/>
          <w:szCs w:val="32"/>
        </w:rPr>
        <w:t>2、选用优良粮食品种。以区农业行政主管部门推荐的优质、高产、高抗良种为选择对象，积极推荐优良品种，提高优良品种应用率，建立劣质品种处理机制。</w:t>
      </w:r>
    </w:p>
    <w:p>
      <w:pPr>
        <w:spacing w:line="500" w:lineRule="exact"/>
        <w:ind w:firstLine="640" w:firstLineChars="200"/>
        <w:rPr>
          <w:rFonts w:ascii="方正仿宋_GBK" w:eastAsia="方正仿宋_GBK"/>
          <w:sz w:val="32"/>
          <w:szCs w:val="32"/>
        </w:rPr>
      </w:pPr>
      <w:r>
        <w:rPr>
          <w:rFonts w:hint="eastAsia" w:ascii="方正仿宋_GBK" w:eastAsia="方正仿宋_GBK"/>
          <w:sz w:val="32"/>
          <w:szCs w:val="32"/>
        </w:rPr>
        <w:t>3、推行轻简栽培技术。积极推行省工、省力、高效为原则的栽培技术，建立农业技术人员指导机制，对接相关农业专家，完善不用粮食作物的整套栽培流程，做到良种良法配套，开展好对农民粮食生产的技术培训和指导，推广使用配套农机、减少用工量。</w:t>
      </w:r>
    </w:p>
    <w:p>
      <w:pPr>
        <w:spacing w:line="500" w:lineRule="exact"/>
        <w:ind w:firstLine="640" w:firstLineChars="200"/>
        <w:rPr>
          <w:rFonts w:ascii="方正仿宋_GBK" w:eastAsia="方正仿宋_GBK"/>
          <w:sz w:val="32"/>
          <w:szCs w:val="32"/>
        </w:rPr>
      </w:pPr>
      <w:r>
        <w:rPr>
          <w:rFonts w:hint="eastAsia" w:ascii="方正仿宋_GBK" w:eastAsia="方正仿宋_GBK"/>
          <w:sz w:val="32"/>
          <w:szCs w:val="32"/>
        </w:rPr>
        <w:t>4、绿色防控、统防统治。按照“预防为主、综合防治”的方针，积极推广农作物病虫害绿色防控、专业化统防统治技术，采取综合防治、合理用药等措施，规范服务，提升服务水平，提高农作物病虫害防控技术和防控质量，降低病虫害发生水平，推广低毒低残留农药，解决好乱用药、多用药、包装物污染等农药污染问题。</w:t>
      </w:r>
    </w:p>
    <w:p>
      <w:pPr>
        <w:spacing w:line="500" w:lineRule="exact"/>
        <w:ind w:firstLine="480" w:firstLineChars="150"/>
        <w:rPr>
          <w:rFonts w:ascii="方正楷体_GBK" w:hAnsi="方正楷体_GBK" w:eastAsia="方正楷体_GBK" w:cs="方正楷体_GBK"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sz w:val="32"/>
          <w:szCs w:val="32"/>
        </w:rPr>
        <w:t>（四）创新机制、提升服务。</w:t>
      </w:r>
    </w:p>
    <w:p>
      <w:pPr>
        <w:spacing w:line="500" w:lineRule="exact"/>
        <w:ind w:firstLine="640" w:firstLineChars="200"/>
        <w:rPr>
          <w:rFonts w:ascii="方正仿宋_GBK" w:eastAsia="方正仿宋_GBK"/>
          <w:sz w:val="32"/>
          <w:szCs w:val="32"/>
        </w:rPr>
      </w:pPr>
      <w:r>
        <w:rPr>
          <w:rFonts w:hint="eastAsia" w:ascii="方正仿宋_GBK" w:eastAsia="方正仿宋_GBK"/>
          <w:sz w:val="32"/>
          <w:szCs w:val="32"/>
        </w:rPr>
        <w:t>1、生产规模化。加大土地流转力度，引导土地有序流转，培育和稳定粮食种植经营主体，提倡适度规模经营，提高规模经营效益，增加农民收入，采取行政推动和技术方式相结合的方式达到品种统一化、种植规模化。</w:t>
      </w:r>
    </w:p>
    <w:p>
      <w:pPr>
        <w:spacing w:line="500" w:lineRule="exact"/>
        <w:ind w:firstLine="800" w:firstLineChars="250"/>
        <w:rPr>
          <w:rFonts w:ascii="方正仿宋_GBK" w:eastAsia="方正仿宋_GBK"/>
          <w:sz w:val="32"/>
          <w:szCs w:val="32"/>
        </w:rPr>
      </w:pPr>
      <w:r>
        <w:rPr>
          <w:rFonts w:hint="eastAsia" w:ascii="方正仿宋_GBK" w:eastAsia="方正仿宋_GBK"/>
          <w:sz w:val="32"/>
          <w:szCs w:val="32"/>
        </w:rPr>
        <w:t>2、服务专业化。提升农业专业技术服务的针对性和指导效果，抓好重点专项技术、重点生产主体、重点种植区域的培训，提升病虫防治、农机作业、农资购销等专业化社会化服务水平。</w:t>
      </w:r>
    </w:p>
    <w:p>
      <w:pPr>
        <w:spacing w:line="500" w:lineRule="exact"/>
        <w:ind w:firstLine="640" w:firstLineChars="200"/>
        <w:rPr>
          <w:rFonts w:ascii="方正黑体_GBK" w:hAnsi="方正黑体_GBK" w:eastAsia="方正黑体_GBK" w:cs="方正黑体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四、保障措施</w:t>
      </w:r>
    </w:p>
    <w:p>
      <w:pPr>
        <w:spacing w:line="500" w:lineRule="exact"/>
        <w:ind w:firstLine="480" w:firstLineChars="150"/>
        <w:rPr>
          <w:rFonts w:ascii="方正楷体_GBK" w:hAnsi="方正楷体_GBK" w:eastAsia="方正楷体_GBK" w:cs="方正楷体_GBK"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sz w:val="32"/>
          <w:szCs w:val="32"/>
        </w:rPr>
        <w:t>（一）支农惠农政策保障</w:t>
      </w:r>
    </w:p>
    <w:p>
      <w:pPr>
        <w:spacing w:line="500" w:lineRule="exact"/>
        <w:ind w:firstLine="640" w:firstLineChars="200"/>
        <w:rPr>
          <w:rFonts w:ascii="方正仿宋_GBK" w:eastAsia="方正仿宋_GBK"/>
          <w:sz w:val="32"/>
          <w:szCs w:val="32"/>
        </w:rPr>
      </w:pPr>
      <w:r>
        <w:rPr>
          <w:rFonts w:hint="eastAsia" w:ascii="方正仿宋_GBK" w:eastAsia="方正仿宋_GBK"/>
          <w:sz w:val="32"/>
          <w:szCs w:val="32"/>
        </w:rPr>
        <w:t>积极争取各级资金支持，多渠道加大对粮油生产的投入，确保各方用于粮食生产的资金投入持续增加。严格执行耕地地力补贴等粮油种植补贴政策，多种多不，不种不补，谁种谁补。稳定粮食种植效益，破解撂荒难题。</w:t>
      </w:r>
    </w:p>
    <w:p>
      <w:pPr>
        <w:spacing w:line="500" w:lineRule="exact"/>
        <w:ind w:firstLine="480" w:firstLineChars="150"/>
        <w:rPr>
          <w:rFonts w:ascii="方正楷体_GBK" w:hAnsi="方正楷体_GBK" w:eastAsia="方正楷体_GBK" w:cs="方正楷体_GBK"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sz w:val="32"/>
          <w:szCs w:val="32"/>
        </w:rPr>
        <w:t>（二）技术指导保障</w:t>
      </w:r>
    </w:p>
    <w:p>
      <w:pPr>
        <w:spacing w:line="500" w:lineRule="exact"/>
        <w:ind w:firstLine="640" w:firstLineChars="200"/>
        <w:rPr>
          <w:rFonts w:ascii="方正仿宋_GBK" w:eastAsia="方正仿宋_GBK"/>
          <w:sz w:val="32"/>
          <w:szCs w:val="32"/>
        </w:rPr>
      </w:pPr>
      <w:r>
        <w:rPr>
          <w:rFonts w:hint="eastAsia" w:ascii="方正仿宋_GBK" w:eastAsia="方正仿宋_GBK"/>
          <w:sz w:val="32"/>
          <w:szCs w:val="32"/>
        </w:rPr>
        <w:t>通过参加相关培训、邀请农业专家指导及自主学习等方式，把全街农业技术人员培养成专业技术过硬、实践能力较强的农业技术指导人员，积极对接上级农业主管部门，及时有效接受新知识、新技术，保障技术指导有效果、出成绩。</w:t>
      </w:r>
    </w:p>
    <w:p>
      <w:pPr>
        <w:spacing w:line="500" w:lineRule="exact"/>
        <w:ind w:firstLine="480" w:firstLineChars="150"/>
        <w:rPr>
          <w:rFonts w:ascii="方正楷体_GBK" w:hAnsi="方正楷体_GBK" w:eastAsia="方正楷体_GBK" w:cs="方正楷体_GBK"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sz w:val="32"/>
          <w:szCs w:val="32"/>
        </w:rPr>
        <w:t>（三）跟踪监测保障</w:t>
      </w:r>
    </w:p>
    <w:p>
      <w:pPr>
        <w:spacing w:line="500" w:lineRule="exact"/>
        <w:ind w:firstLine="640" w:firstLineChars="200"/>
        <w:rPr>
          <w:rFonts w:ascii="方正仿宋_GBK" w:eastAsia="方正仿宋_GBK"/>
          <w:sz w:val="32"/>
          <w:szCs w:val="32"/>
        </w:rPr>
      </w:pPr>
      <w:r>
        <w:rPr>
          <w:rFonts w:hint="eastAsia" w:ascii="方正仿宋_GBK" w:eastAsia="方正仿宋_GBK"/>
          <w:sz w:val="32"/>
          <w:szCs w:val="32"/>
        </w:rPr>
        <w:t>建立全街粮食生产安全台账，形成粮食品种、栽培技术、生产资料更新的动态调整机制，及时掌握全街粮食生产品种、面积及分布信息，为开展全街粮食安全生产统筹整体布局、病虫害防治、技术指导及推广、监督检查等工作打下坚实基础。</w:t>
      </w:r>
    </w:p>
    <w:p>
      <w:pPr>
        <w:spacing w:line="500" w:lineRule="exact"/>
        <w:ind w:firstLine="480" w:firstLineChars="150"/>
        <w:rPr>
          <w:rFonts w:ascii="方正楷体_GBK" w:hAnsi="方正楷体_GBK" w:eastAsia="方正楷体_GBK" w:cs="方正楷体_GBK"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sz w:val="32"/>
          <w:szCs w:val="32"/>
        </w:rPr>
        <w:t>（四）严格工作考核</w:t>
      </w:r>
    </w:p>
    <w:p>
      <w:pPr>
        <w:spacing w:line="500" w:lineRule="exact"/>
        <w:ind w:firstLine="480" w:firstLineChars="150"/>
        <w:rPr>
          <w:rFonts w:ascii="方正仿宋_GBK" w:eastAsia="方正仿宋_GBK"/>
          <w:sz w:val="32"/>
          <w:szCs w:val="32"/>
        </w:rPr>
      </w:pPr>
      <w:r>
        <w:rPr>
          <w:rFonts w:hint="eastAsia" w:ascii="方正仿宋_GBK" w:eastAsia="方正仿宋_GBK"/>
          <w:sz w:val="32"/>
          <w:szCs w:val="32"/>
        </w:rPr>
        <w:t>街道相关部门、街道纪委要对各社区（村）粮食安全生产工作推进情况开展督查，对虚报进度、工作推进缓慢的社区（村）进行通报批评，连续三次排名靠后的社区（村），建立问责机制，由街道纪委和分管领导约谈相关责任人，对问题严重的予以追责问责。</w:t>
      </w:r>
    </w:p>
    <w:p>
      <w:pPr>
        <w:pStyle w:val="3"/>
        <w:rPr>
          <w:rFonts w:eastAsia="宋体"/>
        </w:rPr>
      </w:pPr>
    </w:p>
    <w:p>
      <w:pPr>
        <w:widowControl/>
        <w:spacing w:line="560" w:lineRule="exact"/>
        <w:ind w:firstLine="280" w:firstLineChars="100"/>
        <w:rPr>
          <w:rFonts w:ascii="方正仿宋_GBK" w:hAnsi="方正仿宋_GBK" w:eastAsia="方正仿宋_GBK" w:cs="方正仿宋_GBK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</w:rPr>
        <w:t>黔江区城西街道党政办公室</w:t>
      </w:r>
      <w:r>
        <w:rPr>
          <w:rFonts w:ascii="方正仿宋_GBK" w:hAnsi="方正仿宋_GBK" w:eastAsia="方正仿宋_GBK" w:cs="方正仿宋_GBK"/>
          <w:spacing w:val="-4"/>
          <w:sz w:val="28"/>
          <w:szCs w:val="28"/>
        </w:rPr>
        <w:pict>
          <v:line id="直接连接符 3" o:spid="_x0000_s1026" o:spt="20" style="position:absolute;left:0pt;margin-left:-1.5pt;margin-top:2.55pt;height:0pt;width:450pt;z-index:251659264;mso-width-relative:page;mso-height-relative:page;" coordsize="21600,21600" o:gfxdata="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">
            <v:path arrowok="t"/>
            <v:fill focussize="0,0"/>
            <v:stroke/>
            <v:imagedata o:title=""/>
            <o:lock v:ext="edit"/>
          </v:line>
        </w:pict>
      </w:r>
      <w:r>
        <w:rPr>
          <w:rFonts w:ascii="方正仿宋_GBK" w:hAnsi="方正仿宋_GBK" w:eastAsia="方正仿宋_GBK" w:cs="方正仿宋_GBK"/>
          <w:spacing w:val="-4"/>
          <w:sz w:val="28"/>
          <w:szCs w:val="28"/>
        </w:rPr>
        <w:pict>
          <v:line id="直接连接符 2" o:spid="_x0000_s1027" o:spt="20" style="position:absolute;left:0pt;margin-left:0pt;margin-top:29.95pt;height:0pt;width:450pt;z-index:251658240;mso-width-relative:page;mso-height-relative:page;" coordsize="21600,21600" o:gfxdata="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Z/NX7tMAAAAGAQAADwAAAAAAAAABACAAAAAiAAAAZHJzL2Rvd25yZXYueG1sUEsBAhQAFAAA&#10;AAgAh07iQN1NoF30AQAA5AMAAA4AAAAAAAAAAQAgAAAAIgEAAGRycy9lMm9Eb2MueG1sUEsFBgAA&#10;AAAGAAYAWQEAAIgFAAAAAA==&#10;">
            <v:path arrowok="t"/>
            <v:fill focussize="0,0"/>
            <v:stroke/>
            <v:imagedata o:title=""/>
            <o:lock v:ext="edit"/>
          </v:line>
        </w:pict>
      </w:r>
      <w:r>
        <w:rPr>
          <w:rFonts w:hint="eastAsia" w:ascii="方正仿宋_GBK" w:hAnsi="方正仿宋_GBK" w:eastAsia="方正仿宋_GBK" w:cs="方正仿宋_GBK"/>
          <w:spacing w:val="-4"/>
          <w:sz w:val="28"/>
          <w:szCs w:val="28"/>
        </w:rPr>
        <w:t xml:space="preserve">                   2022年3月10日印发</w:t>
      </w:r>
    </w:p>
    <w:sectPr>
      <w:footerReference r:id="rId3" w:type="default"/>
      <w:pgSz w:w="11906" w:h="16838"/>
      <w:pgMar w:top="1984" w:right="1446" w:bottom="1644" w:left="1446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">
    <w:altName w:val="FreeSans"/>
    <w:panose1 w:val="020B0504020202020204"/>
    <w:charset w:val="00"/>
    <w:family w:val="swiss"/>
    <w:pitch w:val="default"/>
    <w:sig w:usb0="00000000" w:usb1="00000000" w:usb2="00000000" w:usb3="00000000" w:csb0="00000001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Verdana">
    <w:altName w:val="Ubuntu"/>
    <w:panose1 w:val="020B0604030504040204"/>
    <w:charset w:val="00"/>
    <w:family w:val="swiss"/>
    <w:pitch w:val="default"/>
    <w:sig w:usb0="00000000" w:usb1="00000000" w:usb2="00000000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FreeSans">
    <w:panose1 w:val="020B0504020202020204"/>
    <w:charset w:val="00"/>
    <w:family w:val="auto"/>
    <w:pitch w:val="default"/>
    <w:sig w:usb0="E4839EFF" w:usb1="4600FDFF" w:usb2="000030A0" w:usb3="00000584" w:csb0="600001BF" w:csb1="DFF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pict>
        <v:shape id="_x0000_s2051" o:spid="_x0000_s2051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 style="mso-fit-shape-to-text:t;">
            <w:txbxContent>
              <w:p>
                <w:pPr>
                  <w:pStyle w:val="5"/>
                  <w:rPr>
                    <w:rFonts w:ascii="方正仿宋_GBK" w:hAnsi="方正仿宋_GBK" w:eastAsia="方正仿宋_GBK" w:cs="方正仿宋_GBK"/>
                    <w:sz w:val="28"/>
                    <w:szCs w:val="28"/>
                  </w:rPr>
                </w:pPr>
                <w:r>
                  <w:rPr>
                    <w:rFonts w:hint="eastAsia" w:ascii="方正仿宋_GBK" w:hAnsi="方正仿宋_GBK" w:eastAsia="方正仿宋_GBK" w:cs="方正仿宋_GBK"/>
                    <w:sz w:val="28"/>
                    <w:szCs w:val="28"/>
                  </w:rPr>
                  <w:fldChar w:fldCharType="begin"/>
                </w:r>
                <w:r>
                  <w:rPr>
                    <w:rFonts w:hint="eastAsia" w:ascii="方正仿宋_GBK" w:hAnsi="方正仿宋_GBK" w:eastAsia="方正仿宋_GBK" w:cs="方正仿宋_GBK"/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rFonts w:hint="eastAsia" w:ascii="方正仿宋_GBK" w:hAnsi="方正仿宋_GBK" w:eastAsia="方正仿宋_GBK" w:cs="方正仿宋_GBK"/>
                    <w:sz w:val="28"/>
                    <w:szCs w:val="28"/>
                  </w:rPr>
                  <w:fldChar w:fldCharType="separate"/>
                </w:r>
                <w:r>
                  <w:rPr>
                    <w:rFonts w:ascii="方正仿宋_GBK" w:hAnsi="方正仿宋_GBK" w:eastAsia="方正仿宋_GBK" w:cs="方正仿宋_GBK"/>
                    <w:sz w:val="28"/>
                    <w:szCs w:val="28"/>
                  </w:rPr>
                  <w:t>- 1 -</w:t>
                </w:r>
                <w:r>
                  <w:rPr>
                    <w:rFonts w:hint="eastAsia" w:ascii="方正仿宋_GBK" w:hAnsi="方正仿宋_GBK" w:eastAsia="方正仿宋_GBK" w:cs="方正仿宋_GBK"/>
                    <w:sz w:val="28"/>
                    <w:szCs w:val="28"/>
                  </w:rPr>
                  <w:fldChar w:fldCharType="end"/>
                </w:r>
              </w:p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true"/>
  <w:bordersDoNotSurroundFooter w:val="true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40D0C"/>
    <w:rsid w:val="000575AC"/>
    <w:rsid w:val="00087BE6"/>
    <w:rsid w:val="00087EBB"/>
    <w:rsid w:val="00175406"/>
    <w:rsid w:val="00187D04"/>
    <w:rsid w:val="001E30E0"/>
    <w:rsid w:val="002503C1"/>
    <w:rsid w:val="00266191"/>
    <w:rsid w:val="004C2B5C"/>
    <w:rsid w:val="005A1F9E"/>
    <w:rsid w:val="005E1FE3"/>
    <w:rsid w:val="0060014A"/>
    <w:rsid w:val="006875C9"/>
    <w:rsid w:val="006E5AC7"/>
    <w:rsid w:val="007566AC"/>
    <w:rsid w:val="007843D2"/>
    <w:rsid w:val="007C65D5"/>
    <w:rsid w:val="008335B9"/>
    <w:rsid w:val="00887383"/>
    <w:rsid w:val="009B73B9"/>
    <w:rsid w:val="00A61ED1"/>
    <w:rsid w:val="00A95FCA"/>
    <w:rsid w:val="00B61089"/>
    <w:rsid w:val="00BB34C8"/>
    <w:rsid w:val="00BC20CC"/>
    <w:rsid w:val="00C34205"/>
    <w:rsid w:val="00D00FF8"/>
    <w:rsid w:val="00DB36E6"/>
    <w:rsid w:val="00DC6A52"/>
    <w:rsid w:val="00DE3642"/>
    <w:rsid w:val="00EA0C5F"/>
    <w:rsid w:val="00EC06F1"/>
    <w:rsid w:val="00F40D0C"/>
    <w:rsid w:val="00F53434"/>
    <w:rsid w:val="00F700B3"/>
    <w:rsid w:val="00FE1104"/>
    <w:rsid w:val="044D210F"/>
    <w:rsid w:val="1AD42CEE"/>
    <w:rsid w:val="250456AA"/>
    <w:rsid w:val="2B3501BE"/>
    <w:rsid w:val="30C448DA"/>
    <w:rsid w:val="30FB4BE1"/>
    <w:rsid w:val="34E367AB"/>
    <w:rsid w:val="475A13E2"/>
    <w:rsid w:val="50F70F54"/>
    <w:rsid w:val="51523825"/>
    <w:rsid w:val="53027719"/>
    <w:rsid w:val="582324A5"/>
    <w:rsid w:val="69B21DBF"/>
    <w:rsid w:val="6ECC0905"/>
    <w:rsid w:val="70906819"/>
    <w:rsid w:val="72A93AC6"/>
    <w:rsid w:val="BEF3F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/>
    </w:pPr>
    <w:rPr>
      <w:kern w:val="0"/>
    </w:rPr>
  </w:style>
  <w:style w:type="paragraph" w:customStyle="1" w:styleId="3">
    <w:name w:val="默认"/>
    <w:qFormat/>
    <w:uiPriority w:val="0"/>
    <w:rPr>
      <w:rFonts w:ascii="Helvetica" w:hAnsi="Helvetica" w:eastAsia="Helvetica" w:cs="Helvetica"/>
      <w:color w:val="000000"/>
      <w:sz w:val="22"/>
      <w:szCs w:val="22"/>
      <w:lang w:val="en-US" w:eastAsia="zh-CN" w:bidi="ar-SA"/>
    </w:rPr>
  </w:style>
  <w:style w:type="paragraph" w:styleId="4">
    <w:name w:val="Date"/>
    <w:basedOn w:val="1"/>
    <w:next w:val="1"/>
    <w:link w:val="11"/>
    <w:semiHidden/>
    <w:unhideWhenUsed/>
    <w:qFormat/>
    <w:uiPriority w:val="99"/>
    <w:pPr>
      <w:ind w:left="100" w:leftChars="2500"/>
    </w:p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paragraph" w:customStyle="1" w:styleId="10">
    <w:name w:val="Default"/>
    <w:qFormat/>
    <w:uiPriority w:val="0"/>
    <w:pPr>
      <w:widowControl w:val="0"/>
      <w:autoSpaceDE w:val="0"/>
      <w:autoSpaceDN w:val="0"/>
      <w:adjustRightInd w:val="0"/>
    </w:pPr>
    <w:rPr>
      <w:rFonts w:ascii="方正楷体_GBK" w:hAnsi="Calibri" w:eastAsia="方正楷体_GBK" w:cs="方正楷体_GBK"/>
      <w:color w:val="000000"/>
      <w:sz w:val="24"/>
      <w:szCs w:val="24"/>
      <w:lang w:val="en-US" w:eastAsia="zh-CN" w:bidi="ar-SA"/>
    </w:rPr>
  </w:style>
  <w:style w:type="character" w:customStyle="1" w:styleId="11">
    <w:name w:val="日期 Char"/>
    <w:basedOn w:val="8"/>
    <w:link w:val="4"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51"/>
    <customShpInfo spid="_x0000_s1026"/>
    <customShpInfo spid="_x0000_s102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HP</Company>
  <Pages>5</Pages>
  <Words>308</Words>
  <Characters>1759</Characters>
  <Lines>14</Lines>
  <Paragraphs>4</Paragraphs>
  <TotalTime>21</TotalTime>
  <ScaleCrop>false</ScaleCrop>
  <LinksUpToDate>false</LinksUpToDate>
  <CharactersWithSpaces>2063</CharactersWithSpaces>
  <Application>WPS Office_11.8.2.10125_F1E327BC-269C-435d-A152-05C5408002CA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2022-03-10T11:21:00Z</dcterms:created>
  <dc:creator>admin</dc:creator>
  <cp:lastModifiedBy>kylin</cp:lastModifiedBy>
  <dcterms:modified xsi:type="dcterms:W3CDTF">2025-08-21T14:28:09Z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SaveFontToCloudKey">
    <vt:lpwstr>521382093_btnclosed</vt:lpwstr>
  </property>
  <property fmtid="{D5CDD505-2E9C-101B-9397-08002B2CF9AE}" pid="3" name="KSOProductBuildVer">
    <vt:lpwstr>2052-11.8.2.10125</vt:lpwstr>
  </property>
</Properties>
</file>