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4" w:lineRule="exact"/>
        <w:jc w:val="center"/>
        <w:textAlignment w:val="auto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ascii="Times New Roman" w:eastAsia="方正小标宋_GBK"/>
          <w:bCs/>
          <w:sz w:val="44"/>
          <w:szCs w:val="44"/>
        </w:rPr>
        <w:t>中共黔江区城南街道工作委员会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4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黔江区人民政府城南街道办事处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4" w:lineRule="exact"/>
        <w:jc w:val="center"/>
        <w:textAlignment w:val="auto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关于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202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5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年法治政府建设工作情况的报告</w:t>
      </w:r>
    </w:p>
    <w:p>
      <w:pPr>
        <w:spacing w:line="594" w:lineRule="exact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2025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年，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在区委、区政府的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坚强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领导下，</w:t>
      </w:r>
      <w:r>
        <w:rPr>
          <w:rFonts w:ascii="方正仿宋_GBK" w:hAnsi="方正仿宋_GBK" w:eastAsia="方正仿宋_GBK" w:cs="方正仿宋_GBK"/>
          <w:spacing w:val="30"/>
          <w:kern w:val="0"/>
          <w:sz w:val="32"/>
          <w:szCs w:val="32"/>
          <w:shd w:val="clear" w:color="auto" w:fill="FFFFFF"/>
          <w:lang w:bidi="ar"/>
        </w:rPr>
        <w:t>在各部门的大力支持下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，城南街道坚持以习近平新时代中国特色社会主义思想为指导，深入学习贯彻党的二十大精神和习近平法治思想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，紧扣全区法治政府建设重点任务，扎实推进各项工作落地见效，有效提升了街道治理体系和治理能力现代化水平。现将全年工作情况报告如下：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760" w:firstLineChars="200"/>
        <w:jc w:val="left"/>
        <w:textAlignment w:val="auto"/>
        <w:rPr>
          <w:rFonts w:hint="eastAsia" w:ascii="方正黑体_GBK" w:hAnsi="方正黑体_GBK" w:eastAsia="方正黑体_GBK" w:cs="方正黑体_GBK"/>
          <w:spacing w:val="30"/>
          <w:kern w:val="0"/>
          <w:sz w:val="32"/>
          <w:szCs w:val="32"/>
          <w:lang w:bidi="ar"/>
        </w:rPr>
      </w:pPr>
      <w:r>
        <w:rPr>
          <w:rFonts w:ascii="方正黑体_GBK" w:hAnsi="方正黑体_GBK" w:eastAsia="方正黑体_GBK" w:cs="方正黑体_GBK"/>
          <w:spacing w:val="30"/>
          <w:kern w:val="0"/>
          <w:sz w:val="32"/>
          <w:szCs w:val="32"/>
          <w:lang w:bidi="ar"/>
        </w:rPr>
        <w:t>一、</w:t>
      </w:r>
      <w:r>
        <w:rPr>
          <w:rFonts w:hint="default" w:ascii="Times New Roman" w:hAnsi="Times New Roman" w:cs="Times New Roman"/>
          <w:spacing w:val="30"/>
          <w:kern w:val="0"/>
          <w:sz w:val="32"/>
          <w:szCs w:val="32"/>
          <w:lang w:bidi="ar"/>
        </w:rPr>
        <w:t>202</w:t>
      </w:r>
      <w:r>
        <w:rPr>
          <w:rFonts w:hint="default" w:ascii="Times New Roman" w:hAnsi="Times New Roman" w:cs="Times New Roman"/>
          <w:spacing w:val="30"/>
          <w:kern w:val="0"/>
          <w:sz w:val="32"/>
          <w:szCs w:val="32"/>
          <w:lang w:val="en-US" w:eastAsia="zh-CN" w:bidi="ar"/>
        </w:rPr>
        <w:t>5</w:t>
      </w:r>
      <w:r>
        <w:rPr>
          <w:rFonts w:hint="eastAsia" w:ascii="方正黑体_GBK" w:hAnsi="方正黑体_GBK" w:eastAsia="方正黑体_GBK" w:cs="方正黑体_GBK"/>
          <w:spacing w:val="30"/>
          <w:kern w:val="0"/>
          <w:sz w:val="32"/>
          <w:szCs w:val="32"/>
          <w:lang w:bidi="ar"/>
        </w:rPr>
        <w:t>年度法治政府建设任务推进落实情况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kern w:val="0"/>
          <w:sz w:val="32"/>
          <w:szCs w:val="32"/>
          <w:lang w:val="en-US" w:eastAsia="zh-CN" w:bidi="ar"/>
        </w:rPr>
        <w:t>（一）深学笃行习近平法治思想，夯实法治建设根基。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eastAsia="zh-CN"/>
        </w:rPr>
        <w:t>一是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推动宣传贯彻走深走实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eastAsia="zh-CN"/>
        </w:rPr>
        <w:t>。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全年组织开展习近平法治思想各类宣传、宣讲活动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8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场，覆盖街道干部、社区工作者及辖区群众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20000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余人。利用网格群，转发相关学习宣传文章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余篇，张贴各类宣传海报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100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余张，营造了浓厚的学习宣传氛围。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二是强化领导干部法治能力建设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eastAsia="zh-CN"/>
        </w:rPr>
        <w:t>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党政主要负责同志带头履行推进法治建设第一责任人职责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全面落实领导干部应知应会党内法规和国家法律清单制度，开展理论学习中心组学习等集中学习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8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次。</w:t>
      </w:r>
      <w:r>
        <w:rPr>
          <w:rFonts w:hint="eastAsia" w:ascii="Times New Roman" w:hAnsi="Times New Roman" w:eastAsia="方正仿宋_GBK"/>
          <w:sz w:val="32"/>
          <w:szCs w:val="32"/>
        </w:rPr>
        <w:t>组织全体干部职工参加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202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方正仿宋_GBK"/>
          <w:sz w:val="32"/>
          <w:szCs w:val="32"/>
        </w:rPr>
        <w:t>年度法治理论考试，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参考率、</w:t>
      </w:r>
      <w:r>
        <w:rPr>
          <w:rFonts w:hint="eastAsia" w:ascii="Times New Roman" w:hAnsi="Times New Roman" w:eastAsia="方正仿宋_GBK"/>
          <w:sz w:val="32"/>
          <w:szCs w:val="32"/>
        </w:rPr>
        <w:t>合格率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均达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100</w:t>
      </w:r>
      <w:r>
        <w:rPr>
          <w:rFonts w:hint="eastAsia" w:ascii="Times New Roman" w:hAnsi="Times New Roman" w:eastAsia="方正仿宋_GBK"/>
          <w:sz w:val="32"/>
          <w:szCs w:val="32"/>
        </w:rPr>
        <w:t>%，</w:t>
      </w:r>
      <w:r>
        <w:rPr>
          <w:rFonts w:ascii="Times New Roman" w:hAnsi="Times New Roman" w:eastAsia="方正仿宋_GBK"/>
          <w:sz w:val="32"/>
          <w:szCs w:val="32"/>
        </w:rPr>
        <w:t>旁听庭审全覆盖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，通过“身边人”典型案例开展警示教育，切实增强领导干部依法用权、依法办事的意识和能力。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三是推进全民普法提质增效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eastAsia="zh-CN"/>
        </w:rPr>
        <w:t>。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以领导干部、青少年为重点，探索建立公民法治素养精准提升机制，开展个性化法治教育活动。扎实推进“八五”普法验收准备工作，对照工作要求，梳理完善相关资料台账，开展自查自纠，及时补齐工作短板。提前谋划“九五”普法工作，结合街道实际谋划目标任务，为后续普法工作有序开展奠定基础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yellow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sz w:val="32"/>
          <w:szCs w:val="32"/>
        </w:rPr>
        <w:t>二</w:t>
      </w: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）</w:t>
      </w:r>
      <w:r>
        <w:rPr>
          <w:rFonts w:hint="eastAsia" w:ascii="方正楷体_GBK" w:hAnsi="方正楷体_GBK" w:eastAsia="方正楷体_GBK" w:cs="方正楷体_GBK"/>
          <w:kern w:val="0"/>
          <w:sz w:val="32"/>
          <w:szCs w:val="32"/>
          <w:lang w:val="en-US" w:eastAsia="zh-CN" w:bidi="ar"/>
        </w:rPr>
        <w:t>规范科学民主决策</w:t>
      </w:r>
      <w:r>
        <w:rPr>
          <w:rFonts w:hint="eastAsia" w:ascii="方正楷体_GBK" w:hAnsi="方正楷体_GBK" w:eastAsia="方正楷体_GBK" w:cs="方正楷体_GBK"/>
          <w:sz w:val="32"/>
          <w:szCs w:val="32"/>
        </w:rPr>
        <w:t>，</w:t>
      </w: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强化规范性文件监管</w:t>
      </w: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。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eastAsia="zh-CN"/>
        </w:rPr>
        <w:t>一是</w:t>
      </w:r>
      <w:r>
        <w:rPr>
          <w:rFonts w:hint="eastAsia" w:ascii="方正仿宋_GBK" w:hAnsi="方正仿宋_GBK" w:eastAsia="方正仿宋_GBK" w:cs="方正仿宋_GBK"/>
          <w:b/>
          <w:bCs/>
          <w:kern w:val="0"/>
          <w:sz w:val="32"/>
          <w:szCs w:val="32"/>
          <w:lang w:val="en-US" w:eastAsia="zh-CN" w:bidi="ar"/>
        </w:rPr>
        <w:t>规范决策全流程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eastAsia="zh-CN"/>
        </w:rPr>
        <w:t>。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健全完善街道行政决策制度，明确决策范围、程序和责任。全年涉及街道发展规划、重大项目建设、民生实事等重要事项决策，严格遵循公众参与、风险评估、集体讨论决定等法定程序，未出现违反决策程序的情况。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二是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加强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eastAsia="zh-CN"/>
        </w:rPr>
        <w:t>规范性文件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动态清理和备案管理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eastAsia="zh-CN"/>
        </w:rPr>
        <w:t>。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严格落实全市政策文件发布规范，确保街道出台的政策文件及时录入、规范发布，按要求开展涉及“一老一小”等领域规范性文件专项清理工作。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highlight w:val="none"/>
          <w:lang w:val="en-US" w:eastAsia="zh-CN"/>
        </w:rPr>
        <w:t>（三）</w:t>
      </w:r>
      <w:r>
        <w:rPr>
          <w:rFonts w:hint="eastAsia" w:ascii="方正楷体_GBK" w:hAnsi="方正楷体_GBK" w:eastAsia="方正楷体_GBK" w:cs="方正楷体_GBK"/>
          <w:sz w:val="32"/>
          <w:szCs w:val="32"/>
          <w:highlight w:val="none"/>
        </w:rPr>
        <w:t>健全</w:t>
      </w:r>
      <w:r>
        <w:rPr>
          <w:rFonts w:hint="eastAsia" w:ascii="方正楷体_GBK" w:hAnsi="方正楷体_GBK" w:eastAsia="方正楷体_GBK" w:cs="方正楷体_GBK"/>
          <w:sz w:val="32"/>
          <w:szCs w:val="32"/>
          <w:highlight w:val="none"/>
          <w:shd w:val="clear" w:color="auto" w:fill="FFFFFF"/>
        </w:rPr>
        <w:t>治理机制，提升</w:t>
      </w:r>
      <w:r>
        <w:rPr>
          <w:rFonts w:hint="eastAsia" w:ascii="方正楷体_GBK" w:hAnsi="方正楷体_GBK" w:eastAsia="方正楷体_GBK" w:cs="方正楷体_GBK"/>
          <w:sz w:val="32"/>
          <w:szCs w:val="32"/>
          <w:highlight w:val="none"/>
          <w:shd w:val="clear" w:color="auto" w:fill="FFFFFF"/>
          <w:lang w:eastAsia="zh-CN"/>
        </w:rPr>
        <w:t>基层</w:t>
      </w:r>
      <w:r>
        <w:rPr>
          <w:rFonts w:hint="eastAsia" w:ascii="方正楷体_GBK" w:hAnsi="方正楷体_GBK" w:eastAsia="方正楷体_GBK" w:cs="方正楷体_GBK"/>
          <w:sz w:val="32"/>
          <w:szCs w:val="32"/>
          <w:highlight w:val="none"/>
          <w:shd w:val="clear" w:color="auto" w:fill="FFFFFF"/>
        </w:rPr>
        <w:t>法治效能</w:t>
      </w:r>
      <w:r>
        <w:rPr>
          <w:rFonts w:hint="eastAsia" w:ascii="方正楷体_GBK" w:hAnsi="方正楷体_GBK" w:eastAsia="方正楷体_GBK" w:cs="方正楷体_GBK"/>
          <w:sz w:val="32"/>
          <w:szCs w:val="32"/>
          <w:highlight w:val="none"/>
          <w:shd w:val="clear" w:color="auto" w:fill="FFFFFF"/>
          <w:lang w:eastAsia="zh-CN"/>
        </w:rPr>
        <w:t>。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shd w:val="clear" w:color="auto" w:fill="FFFFFF"/>
          <w:lang w:eastAsia="zh-CN"/>
        </w:rPr>
        <w:t>一是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shd w:val="clear" w:color="auto" w:fill="FFFFFF"/>
          <w:lang w:val="en-US" w:eastAsia="zh-CN"/>
        </w:rPr>
        <w:t>加强政府信息公开力度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shd w:val="clear" w:color="auto" w:fill="FFFFFF"/>
        </w:rPr>
        <w:t>。</w:t>
      </w:r>
      <w:r>
        <w:rPr>
          <w:rFonts w:ascii="Times New Roman" w:hAnsi="Times New Roman" w:eastAsia="方正仿宋_GBK"/>
          <w:sz w:val="32"/>
          <w:szCs w:val="32"/>
        </w:rPr>
        <w:t>坚持</w:t>
      </w:r>
      <w:r>
        <w:rPr>
          <w:rFonts w:hint="eastAsia" w:ascii="Times New Roman" w:hAnsi="Times New Roman" w:eastAsia="方正仿宋_GBK"/>
          <w:sz w:val="32"/>
          <w:szCs w:val="32"/>
        </w:rPr>
        <w:t>“</w:t>
      </w:r>
      <w:r>
        <w:rPr>
          <w:rFonts w:ascii="Times New Roman" w:hAnsi="Times New Roman" w:eastAsia="方正仿宋_GBK"/>
          <w:sz w:val="32"/>
          <w:szCs w:val="32"/>
        </w:rPr>
        <w:t>公开为常态，不公开为例外</w:t>
      </w:r>
      <w:r>
        <w:rPr>
          <w:rFonts w:hint="eastAsia" w:ascii="Times New Roman" w:hAnsi="Times New Roman" w:eastAsia="方正仿宋_GBK"/>
          <w:sz w:val="32"/>
          <w:szCs w:val="32"/>
        </w:rPr>
        <w:t>”</w:t>
      </w:r>
      <w:r>
        <w:rPr>
          <w:rFonts w:ascii="Times New Roman" w:hAnsi="Times New Roman" w:eastAsia="方正仿宋_GBK"/>
          <w:sz w:val="32"/>
          <w:szCs w:val="32"/>
        </w:rPr>
        <w:t>要求</w:t>
      </w:r>
      <w:r>
        <w:rPr>
          <w:rFonts w:hint="eastAsia" w:ascii="Times New Roman" w:hAnsi="Times New Roman" w:eastAsia="方正仿宋_GBK"/>
          <w:sz w:val="32"/>
          <w:szCs w:val="32"/>
        </w:rPr>
        <w:t>，</w:t>
      </w:r>
      <w:r>
        <w:rPr>
          <w:rFonts w:ascii="Times New Roman" w:hAnsi="Times New Roman" w:eastAsia="方正仿宋_GBK"/>
          <w:sz w:val="32"/>
          <w:szCs w:val="32"/>
        </w:rPr>
        <w:t>抓实政务公开专区建设，把重点领域信息公开纳入主动公开基本目录，并适时进行动态调整，</w:t>
      </w:r>
      <w:r>
        <w:rPr>
          <w:rFonts w:hint="eastAsia" w:ascii="方正仿宋_GBK" w:hAnsi="方正仿宋_GBK" w:eastAsia="方正仿宋_GBK" w:cs="方正仿宋_GBK"/>
          <w:sz w:val="32"/>
          <w:szCs w:val="32"/>
          <w:shd w:val="clear" w:color="auto" w:fill="FFFFFF"/>
        </w:rPr>
        <w:t>全年主动公开政府信息</w:t>
      </w:r>
      <w:r>
        <w:rPr>
          <w:rFonts w:hint="default" w:ascii="Times New Roman" w:hAnsi="Times New Roman" w:eastAsia="方正仿宋_GBK" w:cs="Times New Roman"/>
          <w:sz w:val="32"/>
          <w:szCs w:val="32"/>
          <w:shd w:val="clear" w:color="auto" w:fill="FFFFFF"/>
          <w:lang w:val="en-US" w:eastAsia="zh-CN"/>
        </w:rPr>
        <w:t>300</w:t>
      </w:r>
      <w:r>
        <w:rPr>
          <w:rFonts w:hint="eastAsia" w:ascii="方正仿宋_GBK" w:hAnsi="方正仿宋_GBK" w:eastAsia="方正仿宋_GBK" w:cs="方正仿宋_GBK"/>
          <w:sz w:val="32"/>
          <w:szCs w:val="32"/>
          <w:shd w:val="clear" w:color="auto" w:fill="FFFFFF"/>
        </w:rPr>
        <w:t>余条</w:t>
      </w:r>
      <w:r>
        <w:rPr>
          <w:rFonts w:hint="eastAsia" w:ascii="方正仿宋_GBK" w:hAnsi="方正仿宋_GBK" w:eastAsia="方正仿宋_GBK" w:cs="方正仿宋_GBK"/>
          <w:sz w:val="32"/>
          <w:szCs w:val="32"/>
          <w:shd w:val="clear" w:color="auto" w:fill="FFFFFF"/>
          <w:lang w:eastAsia="zh-CN"/>
        </w:rPr>
        <w:t>。</w:t>
      </w:r>
      <w:r>
        <w:rPr>
          <w:rFonts w:hint="eastAsia" w:ascii="Times New Roman" w:hAnsi="Times New Roman" w:eastAsia="方正仿宋_GBK"/>
          <w:b/>
          <w:bCs/>
          <w:sz w:val="32"/>
          <w:szCs w:val="32"/>
        </w:rPr>
        <w:t>二是</w:t>
      </w:r>
      <w:r>
        <w:rPr>
          <w:rFonts w:hint="eastAsia" w:ascii="Times New Roman" w:hAnsi="Times New Roman" w:eastAsia="方正仿宋_GBK"/>
          <w:b/>
          <w:bCs/>
          <w:sz w:val="32"/>
          <w:szCs w:val="32"/>
          <w:lang w:eastAsia="zh-CN"/>
        </w:rPr>
        <w:t>持续优化</w:t>
      </w:r>
      <w:r>
        <w:rPr>
          <w:rFonts w:hint="eastAsia" w:ascii="Times New Roman" w:hAnsi="Times New Roman" w:eastAsia="方正仿宋_GBK"/>
          <w:b/>
          <w:bCs/>
          <w:sz w:val="32"/>
          <w:szCs w:val="32"/>
        </w:rPr>
        <w:t>现代公共法律服务体系。</w:t>
      </w:r>
      <w:r>
        <w:rPr>
          <w:rFonts w:hint="eastAsia" w:ascii="Times New Roman" w:hAnsi="Times New Roman" w:eastAsia="方正仿宋_GBK"/>
          <w:sz w:val="32"/>
          <w:szCs w:val="32"/>
        </w:rPr>
        <w:t>优化配置社区法律顾问2名，全年法律顾问参与宣传法律援助知识4场，发放援助手册及传单2000余份，接受来电来访共600余人次，审核法律顾问平台服务档案870余条，审理法律文书9件，初审法律援助案件61件(包括集团援助案件），开展“法律明白人”培训4次，每月按时完成8小时线上学习。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shd w:val="clear" w:color="auto" w:fill="FFFFFF"/>
        </w:rPr>
        <w:t>三是依法化解社会矛盾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shd w:val="clear" w:color="auto" w:fill="FFFFFF"/>
          <w:lang w:eastAsia="zh-CN"/>
        </w:rPr>
        <w:t>纠纷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shd w:val="clear" w:color="auto" w:fill="FFFFFF"/>
        </w:rPr>
        <w:t>。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shd w:val="clear" w:color="auto" w:fill="FFFFFF"/>
          <w:lang w:eastAsia="zh-CN"/>
        </w:rPr>
        <w:t>坚持新时代“枫桥经验”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shd w:val="clear" w:color="auto" w:fill="FFFFFF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  <w:shd w:val="clear" w:color="auto" w:fill="FFFFFF"/>
          <w:lang w:eastAsia="zh-CN"/>
        </w:rPr>
        <w:t>排查并化解各类矛盾纠纷</w:t>
      </w:r>
      <w:r>
        <w:rPr>
          <w:rFonts w:hint="default" w:ascii="Times New Roman" w:hAnsi="Times New Roman" w:eastAsia="方正仿宋_GBK" w:cs="Times New Roman"/>
          <w:sz w:val="32"/>
          <w:szCs w:val="32"/>
          <w:shd w:val="clear" w:color="auto" w:fill="FFFFFF"/>
          <w:lang w:val="en-US" w:eastAsia="zh-CN"/>
        </w:rPr>
        <w:t>1697</w:t>
      </w:r>
      <w:r>
        <w:rPr>
          <w:rFonts w:hint="eastAsia" w:ascii="方正仿宋_GBK" w:hAnsi="方正仿宋_GBK" w:eastAsia="方正仿宋_GBK" w:cs="方正仿宋_GBK"/>
          <w:sz w:val="32"/>
          <w:szCs w:val="32"/>
          <w:shd w:val="clear" w:color="auto" w:fill="FFFFFF"/>
          <w:lang w:val="en-US" w:eastAsia="zh-CN"/>
        </w:rPr>
        <w:t>件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t>；严格落实领导干部下访接访活动，共计接访下访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  <w:lang w:val="en-US" w:eastAsia="zh-CN"/>
        </w:rPr>
        <w:t>463次，接待群众961人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t>。</w:t>
      </w:r>
      <w:r>
        <w:rPr>
          <w:rFonts w:hint="eastAsia" w:ascii="Times New Roman" w:hAnsi="Times New Roman" w:eastAsia="方正仿宋_GBK"/>
          <w:sz w:val="32"/>
          <w:szCs w:val="32"/>
        </w:rPr>
        <w:t>全面调整充实调委会组织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12</w:t>
      </w:r>
      <w:r>
        <w:rPr>
          <w:rFonts w:hint="eastAsia" w:ascii="Times New Roman" w:hAnsi="Times New Roman" w:eastAsia="方正仿宋_GBK"/>
          <w:sz w:val="32"/>
          <w:szCs w:val="32"/>
        </w:rPr>
        <w:t>个，开展调解员集中培训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2</w:t>
      </w:r>
      <w:r>
        <w:rPr>
          <w:rFonts w:hint="eastAsia" w:ascii="Times New Roman" w:hAnsi="Times New Roman" w:eastAsia="方正仿宋_GBK"/>
          <w:sz w:val="32"/>
          <w:szCs w:val="32"/>
        </w:rPr>
        <w:t>次。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（四）</w:t>
      </w:r>
      <w:r>
        <w:rPr>
          <w:rFonts w:hint="eastAsia" w:ascii="方正楷体_GBK" w:hAnsi="方正楷体_GBK" w:eastAsia="方正楷体_GBK" w:cs="方正楷体_GBK"/>
          <w:sz w:val="32"/>
          <w:szCs w:val="32"/>
        </w:rPr>
        <w:t>深化“大综合一体化”行政执法改革，</w:t>
      </w:r>
      <w:r>
        <w:rPr>
          <w:rFonts w:hint="eastAsia" w:ascii="方正楷体_GBK" w:hAnsi="方正楷体_GBK" w:eastAsia="方正楷体_GBK" w:cs="方正楷体_GBK"/>
          <w:kern w:val="0"/>
          <w:sz w:val="32"/>
          <w:szCs w:val="32"/>
          <w:lang w:val="en-US" w:eastAsia="zh-CN" w:bidi="ar"/>
        </w:rPr>
        <w:t>增强执法履职效能。</w:t>
      </w:r>
      <w:r>
        <w:rPr>
          <w:rFonts w:hint="eastAsia" w:ascii="方正仿宋_GBK" w:hAnsi="方正仿宋_GBK" w:eastAsia="方正仿宋_GBK" w:cs="方正仿宋_GBK"/>
          <w:b/>
          <w:bCs/>
          <w:color w:val="000000"/>
          <w:kern w:val="0"/>
          <w:sz w:val="32"/>
          <w:szCs w:val="32"/>
          <w:lang w:val="en-US" w:eastAsia="zh-CN" w:bidi="ar"/>
        </w:rPr>
        <w:t>一是不断深化街道综合行政执法改革。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组建街道综合行政执法大队，整合现有执法力量，实现“一支队伍管执法”。完成对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27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项法定、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62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项赋予、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49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项委托行政执法权的精准承接，确保执法事权与基层治理需求相匹配。通过“街道吹哨，部门报到”的联合执法模式，实现了跨部门协同响应百分百覆盖，全年涉企开展行政检查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56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家，有效破解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基层执法“看得见、管不着”的问题。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二是提升“执法+监督”数字化应用效能。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积极推广使用市级“执法+监督”数字应用平台，组织执法人员开展平台操作培训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6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次，率先开发并落地特色应用场景，归集辖区企业信用数据，根据信用评级实施分级分类监管，场景应用实施率达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95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%，实现对守法者“无事不扰”。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（五）扎实开展规范涉企行政执法专项行动，优化营商环境。</w:t>
      </w:r>
      <w:r>
        <w:rPr>
          <w:rFonts w:hint="eastAsia" w:ascii="方正仿宋_GBK" w:hAnsi="方正仿宋_GBK" w:eastAsia="方正仿宋_GBK" w:cs="方正仿宋_GBK"/>
          <w:b/>
          <w:bCs/>
          <w:color w:val="000000"/>
          <w:kern w:val="0"/>
          <w:sz w:val="32"/>
          <w:szCs w:val="32"/>
          <w:lang w:val="en-US" w:eastAsia="zh-CN" w:bidi="ar"/>
        </w:rPr>
        <w:t>一是全面规范涉企行政执法行为。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全面推广“企业码”“执法码”两码互核，“扫码入企”监督模式，将检查内容、企业信息、预警提示“一码集成”，大幅压减涉企检查事项和重复检查率。践行“柔性执法”理念，坚持“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721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工作法”，对符合条件的初次轻微违法行为依法实施免罚。通过评选“优秀商户”、组建“护学小队”等方式，引导社会共治，传递执法温度。</w:t>
      </w:r>
      <w:r>
        <w:rPr>
          <w:rFonts w:hint="eastAsia" w:ascii="方正仿宋_GBK" w:hAnsi="方正仿宋_GBK" w:eastAsia="方正仿宋_GBK" w:cs="方正仿宋_GBK"/>
          <w:b/>
          <w:bCs/>
          <w:color w:val="000000"/>
          <w:kern w:val="0"/>
          <w:sz w:val="32"/>
          <w:szCs w:val="32"/>
          <w:lang w:val="en-US" w:eastAsia="zh-CN" w:bidi="ar"/>
        </w:rPr>
        <w:t>二是</w:t>
      </w:r>
      <w:r>
        <w:rPr>
          <w:rFonts w:hint="eastAsia" w:ascii="方正楷体_GBK" w:hAnsi="方正楷体_GBK" w:eastAsia="方正楷体_GBK" w:cs="方正楷体_GBK"/>
          <w:sz w:val="32"/>
          <w:szCs w:val="32"/>
        </w:rPr>
        <w:t>深入推进行政执法规范化建设</w:t>
      </w:r>
      <w:r>
        <w:rPr>
          <w:rFonts w:hint="eastAsia" w:ascii="方正仿宋_GBK" w:hAnsi="方正仿宋_GBK" w:eastAsia="方正仿宋_GBK" w:cs="方正仿宋_GBK"/>
          <w:b/>
          <w:bCs/>
          <w:color w:val="000000"/>
          <w:kern w:val="0"/>
          <w:sz w:val="32"/>
          <w:szCs w:val="32"/>
          <w:lang w:val="en-US" w:eastAsia="zh-CN" w:bidi="ar"/>
        </w:rPr>
        <w:t>。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严格落实“执法公示、全过程记录、法制审核”三项制度，通过政府门户网站依法公开行政处罚、行政许可等信息，保障群众知情权与监督权。为执法人员配备执法记录仪，统一文书标准，实现执法全过程留痕和可回溯管理。建立执法决定法制审核机制，全年共审核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16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件行政处罚案件。开展常态化执法培训与业务练兵，推行“周练、月讲、季考核”机制，在年度综合执法办案技能竞赛中，队伍荣获佳绩，展现出过硬专业素养。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napToGrid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二、</w:t>
      </w:r>
      <w:r>
        <w:rPr>
          <w:rFonts w:hint="eastAsia" w:ascii="方正黑体_GBK" w:hAnsi="方正黑体_GBK" w:eastAsia="方正黑体_GBK" w:cs="方正黑体_GBK"/>
          <w:snapToGrid w:val="0"/>
          <w:sz w:val="32"/>
          <w:szCs w:val="32"/>
        </w:rPr>
        <w:t>主要负责人履行推进法治建设第一责任人职责情况，其他负责人在其分管工作范围内履行相关职责情况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42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一是牢固树立法治思维，坚决扛起“关键少数”政治责任。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党政主要负责人严格履行推进法治建设第一责任人职责，对法治建设重要工作亲自部署、重点任务亲自督办，将习近平法治思想学习贯彻、重大事项依法决策、依法履职等情况纳入年度述法范畴，通过述职述法强化工作总结、主动接受监督、压实履职责任。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二是发挥“头雁”作用，带头学法普法。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将习近平法治思想、党的二十大精神及各类法律法规纳入党工委理论学习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中心组及党员学习核心内容，开展学习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8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次，提升领导班子运用法治思维和法治方式开展工作的能力；班子成员带头深学笃行习近平法治思想、讲授法治课程，发挥学法示范作用；深化法治宣传教育，营造全社会尊法学法守法用法的浓厚氛围。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三统筹推进，压实法治政府建设责任。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定期召开专题会议部署法治政府建设年度重点任务，制定年度普法工作计划及责任清单；主要负责同志以身作则、以上率下，带头尊法学法守法用法；其他班子成员全面落实“一岗双责”，在分管领域切实履行法治政府建设职责，推动法治要求贯穿工作全过程各方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三、</w:t>
      </w:r>
      <w:r>
        <w:rPr>
          <w:rFonts w:hint="default" w:ascii="Times New Roman" w:hAnsi="Times New Roman" w:eastAsia="方正黑体_GBK" w:cs="Times New Roman"/>
          <w:snapToGrid w:val="0"/>
          <w:sz w:val="32"/>
          <w:szCs w:val="32"/>
        </w:rPr>
        <w:t>202</w:t>
      </w:r>
      <w:r>
        <w:rPr>
          <w:rFonts w:hint="default" w:ascii="Times New Roman" w:hAnsi="Times New Roman" w:eastAsia="方正黑体_GBK" w:cs="Times New Roman"/>
          <w:snapToGrid w:val="0"/>
          <w:sz w:val="32"/>
          <w:szCs w:val="32"/>
          <w:lang w:val="en-US" w:eastAsia="zh-CN"/>
        </w:rPr>
        <w:t>5</w:t>
      </w:r>
      <w:r>
        <w:rPr>
          <w:rFonts w:hint="eastAsia" w:ascii="方正黑体_GBK" w:hAnsi="方正黑体_GBK" w:eastAsia="方正黑体_GBK" w:cs="方正黑体_GBK"/>
          <w:snapToGrid w:val="0"/>
          <w:sz w:val="32"/>
          <w:szCs w:val="32"/>
        </w:rPr>
        <w:t>年推进法治政府建设存在的不足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尽管全年法治政府建设工作取得了一定成效，但仍存在一些不足：一是部分干部法治意识和法治能力仍需进一步提升，运用法治思维和法治方式解决复杂问题的能力有待加强；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二是</w:t>
      </w:r>
      <w:r>
        <w:rPr>
          <w:rFonts w:hint="eastAsia" w:ascii="方正仿宋_GBK" w:hAnsi="方正仿宋_GBK" w:eastAsia="方正仿宋_GBK" w:cs="方正仿宋_GBK"/>
          <w:b w:val="0"/>
          <w:bCs w:val="0"/>
          <w:snapToGrid w:val="0"/>
          <w:sz w:val="32"/>
          <w:szCs w:val="32"/>
        </w:rPr>
        <w:t>行政执法能力</w:t>
      </w:r>
      <w:r>
        <w:rPr>
          <w:rFonts w:hint="eastAsia" w:ascii="方正仿宋_GBK" w:hAnsi="方正仿宋_GBK" w:eastAsia="方正仿宋_GBK" w:cs="方正仿宋_GBK"/>
          <w:b w:val="0"/>
          <w:bCs w:val="0"/>
          <w:snapToGrid w:val="0"/>
          <w:sz w:val="32"/>
          <w:szCs w:val="32"/>
          <w:lang w:eastAsia="zh-CN"/>
        </w:rPr>
        <w:t>还需提升，</w:t>
      </w:r>
      <w:r>
        <w:rPr>
          <w:rFonts w:hint="eastAsia" w:ascii="方正仿宋_GBK" w:hAnsi="方正仿宋_GBK" w:eastAsia="方正仿宋_GBK" w:cs="方正仿宋_GBK"/>
          <w:b w:val="0"/>
          <w:bCs w:val="0"/>
          <w:snapToGrid w:val="0"/>
          <w:sz w:val="32"/>
          <w:szCs w:val="32"/>
          <w:lang w:val="en-US" w:eastAsia="zh-CN"/>
        </w:rPr>
        <w:t>执法精细化、规范化水平需持续优化，</w:t>
      </w:r>
      <w:r>
        <w:rPr>
          <w:rFonts w:hint="eastAsia" w:ascii="方正仿宋_GBK" w:hAnsi="方正仿宋_GBK" w:eastAsia="方正仿宋_GBK" w:cs="方正仿宋_GBK"/>
          <w:b w:val="0"/>
          <w:bCs w:val="0"/>
          <w:snapToGrid w:val="0"/>
          <w:sz w:val="32"/>
          <w:szCs w:val="32"/>
          <w:lang w:eastAsia="zh-CN"/>
        </w:rPr>
        <w:t>面对专业性较强的执法事项时，开展执法工作还具有一定难度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；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三是法治宣传教育的针对性和实效性有待进一步增强，部分群众法治意识仍较为淡薄。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napToGrid w:val="0"/>
          <w:sz w:val="32"/>
          <w:szCs w:val="32"/>
        </w:rPr>
      </w:pPr>
      <w:r>
        <w:rPr>
          <w:rFonts w:hint="eastAsia" w:ascii="Times New Roman" w:hAnsi="Times New Roman" w:eastAsia="方正黑体_GBK"/>
          <w:snapToGrid w:val="0"/>
          <w:sz w:val="32"/>
          <w:szCs w:val="32"/>
          <w:lang w:eastAsia="zh-CN"/>
        </w:rPr>
        <w:t>四、</w:t>
      </w:r>
      <w:r>
        <w:rPr>
          <w:rFonts w:hint="default" w:ascii="Times New Roman" w:hAnsi="Times New Roman" w:eastAsia="方正黑体_GBK" w:cs="Times New Roman"/>
          <w:snapToGrid w:val="0"/>
          <w:sz w:val="32"/>
          <w:szCs w:val="32"/>
        </w:rPr>
        <w:t>202</w:t>
      </w:r>
      <w:r>
        <w:rPr>
          <w:rFonts w:hint="eastAsia" w:ascii="Times New Roman" w:hAnsi="Times New Roman" w:eastAsia="方正黑体_GBK" w:cs="Times New Roman"/>
          <w:snapToGrid w:val="0"/>
          <w:sz w:val="32"/>
          <w:szCs w:val="32"/>
          <w:lang w:val="en-US" w:eastAsia="zh-CN"/>
        </w:rPr>
        <w:t>6</w:t>
      </w:r>
      <w:r>
        <w:rPr>
          <w:rFonts w:hint="eastAsia" w:ascii="方正黑体_GBK" w:hAnsi="方正黑体_GBK" w:eastAsia="方正黑体_GBK" w:cs="方正黑体_GBK"/>
          <w:snapToGrid w:val="0"/>
          <w:sz w:val="32"/>
          <w:szCs w:val="32"/>
        </w:rPr>
        <w:t>年推进法治政府建设的工作思路和目标举措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202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方正仿宋_GBK"/>
          <w:sz w:val="32"/>
          <w:szCs w:val="32"/>
        </w:rPr>
        <w:t>年，</w:t>
      </w:r>
      <w:r>
        <w:rPr>
          <w:rFonts w:hint="eastAsia" w:ascii="Times New Roman" w:hAnsi="Times New Roman" w:eastAsia="方正仿宋_GBK"/>
          <w:sz w:val="32"/>
          <w:szCs w:val="32"/>
        </w:rPr>
        <w:t>城南</w:t>
      </w:r>
      <w:r>
        <w:rPr>
          <w:rFonts w:ascii="Times New Roman" w:hAnsi="Times New Roman" w:eastAsia="方正仿宋_GBK"/>
          <w:sz w:val="32"/>
          <w:szCs w:val="32"/>
        </w:rPr>
        <w:t>街道将继续以习近平法治思想为指导，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按照</w:t>
      </w:r>
      <w:r>
        <w:rPr>
          <w:rFonts w:hint="eastAsia" w:ascii="Times New Roman" w:hAnsi="Times New Roman" w:eastAsia="方正仿宋_GBK"/>
          <w:sz w:val="32"/>
          <w:szCs w:val="32"/>
        </w:rPr>
        <w:t>黔江</w:t>
      </w:r>
      <w:r>
        <w:rPr>
          <w:rFonts w:ascii="Times New Roman" w:hAnsi="Times New Roman" w:eastAsia="方正仿宋_GBK"/>
          <w:sz w:val="32"/>
          <w:szCs w:val="32"/>
        </w:rPr>
        <w:t>区法治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政府</w:t>
      </w:r>
      <w:r>
        <w:rPr>
          <w:rFonts w:ascii="Times New Roman" w:hAnsi="Times New Roman" w:eastAsia="方正仿宋_GBK"/>
          <w:sz w:val="32"/>
          <w:szCs w:val="32"/>
        </w:rPr>
        <w:t>建设工作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要求</w:t>
      </w:r>
      <w:r>
        <w:rPr>
          <w:rFonts w:ascii="Times New Roman" w:hAnsi="Times New Roman" w:eastAsia="方正仿宋_GBK"/>
          <w:sz w:val="32"/>
          <w:szCs w:val="32"/>
        </w:rPr>
        <w:t>，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持续</w:t>
      </w:r>
      <w:r>
        <w:rPr>
          <w:rFonts w:ascii="Times New Roman" w:hAnsi="Times New Roman" w:eastAsia="方正仿宋_GBK"/>
          <w:sz w:val="32"/>
          <w:szCs w:val="32"/>
        </w:rPr>
        <w:t>认真做好各项工作，确保法治建设工作落到实处和取得实质进展。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一是持续深化习近平法治思想学习宣传贯彻，进一步提升干部群众法治素养；二是加强基层执法队伍建设，通过培训、引进专业人才等方式，提升执法能力；三是创新法治宣传教育方式方法，增强宣传教育的针对性和实效性；四是扎实推进各项重点工作任务落地见效，不断提升法治政府建设水平，为街道经济社会高质量发展提供坚强的法治保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4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4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4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true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F0A"/>
    <w:rsid w:val="003E0634"/>
    <w:rsid w:val="00876DDF"/>
    <w:rsid w:val="00C96768"/>
    <w:rsid w:val="00D37EA1"/>
    <w:rsid w:val="00D42F0A"/>
    <w:rsid w:val="1DFB9A36"/>
    <w:rsid w:val="7E1F1A94"/>
    <w:rsid w:val="7FC9311F"/>
    <w:rsid w:val="9B77BD34"/>
    <w:rsid w:val="9FFF5AF9"/>
    <w:rsid w:val="BF8B717C"/>
    <w:rsid w:val="D7E7D756"/>
    <w:rsid w:val="EFAF9E2F"/>
    <w:rsid w:val="EFD778C8"/>
    <w:rsid w:val="FF652194"/>
    <w:rsid w:val="FFEF0829"/>
    <w:rsid w:val="FFF96C99"/>
    <w:rsid w:val="FFFB5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Yozosoft</Company>
  <Pages>6</Pages>
  <Words>0</Words>
  <Characters>0</Characters>
  <Lines>0</Lines>
  <Paragraphs>0</Paragraphs>
  <TotalTime>95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2021-05-10T15:28:00Z</dcterms:created>
  <dc:creator>User274</dc:creator>
  <cp:lastModifiedBy>kylin</cp:lastModifiedBy>
  <cp:lastPrinted>2026-01-15T08:04:00Z</cp:lastPrinted>
  <dcterms:modified xsi:type="dcterms:W3CDTF">2026-01-15T16:25:29Z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774933FDE0092947EC526469CFC1AEE2_42</vt:lpwstr>
  </property>
</Properties>
</file>