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before="0" w:beforeAutospacing="0"/>
        <w:jc w:val="center"/>
        <w:rPr>
          <w:rFonts w:hint="default" w:ascii="方正小标宋_GBK" w:hAnsi="方正小标宋_GBK" w:eastAsia="方正小标宋_GBK" w:cs="方正小标宋_GBK"/>
          <w:sz w:val="36"/>
          <w:szCs w:val="36"/>
          <w:shd w:val="clear" w:color="auto" w:fill="FFFFFF"/>
        </w:rPr>
      </w:pPr>
      <w:r>
        <w:rPr>
          <w:rFonts w:ascii="方正小标宋_GBK" w:hAnsi="方正小标宋_GBK" w:eastAsia="方正小标宋_GBK" w:cs="方正小标宋_GBK"/>
          <w:sz w:val="36"/>
          <w:szCs w:val="36"/>
        </w:rPr>
        <w:t>重庆市黔江区城东街道办事处（本级）</w:t>
      </w:r>
      <w:r>
        <w:rPr>
          <w:rFonts w:hint="eastAsia" w:ascii="方正小标宋_GBK" w:hAnsi="方正小标宋_GBK" w:eastAsia="方正小标宋_GBK" w:cs="方正小标宋_GBK"/>
          <w:sz w:val="36"/>
          <w:szCs w:val="36"/>
          <w:shd w:val="clear" w:color="auto" w:fill="FFFFFF"/>
          <w:lang w:eastAsia="zh-CN"/>
        </w:rPr>
        <w:t>2024年</w:t>
      </w:r>
      <w:r>
        <w:rPr>
          <w:rFonts w:ascii="方正小标宋_GBK" w:hAnsi="方正小标宋_GBK" w:eastAsia="方正小标宋_GBK" w:cs="方正小标宋_GBK"/>
          <w:sz w:val="36"/>
          <w:szCs w:val="36"/>
          <w:shd w:val="clear" w:color="auto" w:fill="FFFFFF"/>
        </w:rPr>
        <w:t>度决算</w:t>
      </w:r>
      <w:r>
        <w:rPr>
          <w:rFonts w:hint="eastAsia" w:ascii="方正小标宋_GBK" w:hAnsi="方正小标宋_GBK" w:eastAsia="方正小标宋_GBK" w:cs="方正小标宋_GBK"/>
          <w:sz w:val="36"/>
          <w:szCs w:val="36"/>
          <w:shd w:val="clear" w:color="auto" w:fill="FFFFFF"/>
          <w:lang w:eastAsia="zh-CN"/>
        </w:rPr>
        <w:t>公开</w:t>
      </w:r>
      <w:r>
        <w:rPr>
          <w:rFonts w:ascii="方正小标宋_GBK" w:hAnsi="方正小标宋_GBK" w:eastAsia="方正小标宋_GBK" w:cs="方正小标宋_GBK"/>
          <w:sz w:val="36"/>
          <w:szCs w:val="36"/>
          <w:shd w:val="clear" w:color="auto" w:fill="FFFFFF"/>
        </w:rPr>
        <w:t>说明</w:t>
      </w:r>
    </w:p>
    <w:p>
      <w:pPr>
        <w:pStyle w:val="5"/>
        <w:shd w:val="clear" w:color="auto" w:fill="FFFFFF"/>
        <w:rPr>
          <w:rFonts w:hint="eastAsia" w:ascii="黑体" w:hAnsi="黑体" w:eastAsia="黑体" w:cs="黑体"/>
          <w:sz w:val="32"/>
          <w:szCs w:val="32"/>
        </w:rPr>
      </w:pPr>
      <w:r>
        <w:rPr>
          <w:rStyle w:val="9"/>
          <w:rFonts w:hint="eastAsia" w:ascii="黑体" w:hAnsi="黑体" w:eastAsia="黑体" w:cs="黑体"/>
          <w:sz w:val="32"/>
          <w:szCs w:val="32"/>
          <w:shd w:val="clear" w:color="auto" w:fill="FFFFFF"/>
        </w:rPr>
        <w:t>一、部门基本情况</w:t>
      </w:r>
    </w:p>
    <w:p>
      <w:pPr>
        <w:pStyle w:val="5"/>
        <w:shd w:val="clear" w:color="auto" w:fill="FFFFFF"/>
        <w:ind w:firstLine="420"/>
        <w:rPr>
          <w:rFonts w:hint="default" w:ascii="方正仿宋_GBK" w:hAnsi="方正仿宋_GBK" w:eastAsia="方正仿宋_GBK" w:cs="方正仿宋_GBK"/>
          <w:sz w:val="32"/>
          <w:szCs w:val="32"/>
        </w:rPr>
      </w:pPr>
      <w:r>
        <w:rPr>
          <w:rStyle w:val="9"/>
          <w:rFonts w:hint="eastAsia" w:ascii="楷体" w:hAnsi="楷体" w:eastAsia="楷体" w:cs="楷体"/>
          <w:sz w:val="32"/>
          <w:szCs w:val="32"/>
          <w:shd w:val="clear" w:color="auto" w:fill="FFFFFF"/>
        </w:rPr>
        <w:t>（一）职能职责</w:t>
      </w:r>
    </w:p>
    <w:p>
      <w:pPr>
        <w:pStyle w:val="5"/>
        <w:shd w:val="clear" w:color="auto" w:fill="FFFFFF"/>
        <w:ind w:firstLine="420"/>
        <w:rPr>
          <w:rFonts w:hint="eastAsia" w:ascii="方正仿宋_GBK" w:hAnsi="方正仿宋_GBK" w:eastAsia="方正仿宋_GBK" w:cs="方正仿宋_GBK"/>
          <w:b w:val="0"/>
          <w:bCs w:val="0"/>
          <w:color w:val="auto"/>
          <w:sz w:val="32"/>
          <w:szCs w:val="32"/>
          <w:shd w:val="clear" w:color="auto" w:fill="FFFFFF"/>
        </w:rPr>
      </w:pPr>
      <w:r>
        <w:rPr>
          <w:rFonts w:hint="eastAsia" w:ascii="方正仿宋_GBK" w:hAnsi="方正仿宋_GBK" w:eastAsia="方正仿宋_GBK" w:cs="方正仿宋_GBK"/>
          <w:b w:val="0"/>
          <w:bCs w:val="0"/>
          <w:color w:val="auto"/>
          <w:sz w:val="32"/>
          <w:szCs w:val="32"/>
          <w:shd w:val="clear" w:color="auto" w:fill="FFFFFF"/>
        </w:rPr>
        <w:t>黔江区人民政府城东街道办事处是黔江区人民政府的派出机关，受区人民政府领导，依据法律、法规的规定，在本辖区内行使相应的政府管理职能。具体为：指导、帮助社区（村）居委会开展组织建设、制度建设和其它工作；负责本辖区社区建设、管理和服务工作；做好社会救助和其他社会保障工作；执行本辖区内经济和社会发展计划、财政预算，管理本辖区内的社会事务管理、劳动和社会保障、计划生育、环境保护、文化、卫生、安全生产、计划生育等行政工作；负责维护本辖区内社会秩序稳定，做好社会治安综合治理和人民调解工作；维护老年人、未成年人、妇女、残疾人等的合法权益；开展拥军优属，退役军人服务管理，做好国防动员和兵役工作；做好经济发展规划、农村经营管理、经济社会统计、村镇规划建设、市容环卫、农业经济管理、森林管护、农村基础设施建设等工作；配合做好防灾救灾工作；向区人民政府反映居民的意见和要求，处理群众来信来访事项以及办理区人民政府交办的事项。</w:t>
      </w:r>
    </w:p>
    <w:p>
      <w:pPr>
        <w:pStyle w:val="5"/>
        <w:shd w:val="clear" w:color="auto" w:fill="FFFFFF"/>
        <w:ind w:firstLine="420"/>
        <w:rPr>
          <w:rFonts w:hint="eastAsia" w:ascii="楷体" w:hAnsi="楷体" w:eastAsia="楷体" w:cs="楷体"/>
          <w:sz w:val="32"/>
          <w:szCs w:val="32"/>
        </w:rPr>
      </w:pPr>
      <w:r>
        <w:rPr>
          <w:rStyle w:val="9"/>
          <w:rFonts w:hint="eastAsia" w:ascii="楷体" w:hAnsi="楷体" w:eastAsia="楷体" w:cs="楷体"/>
          <w:sz w:val="32"/>
          <w:szCs w:val="32"/>
          <w:shd w:val="clear" w:color="auto" w:fill="FFFFFF"/>
        </w:rPr>
        <w:t>（二）机构设置</w:t>
      </w:r>
    </w:p>
    <w:p>
      <w:pPr>
        <w:pStyle w:val="5"/>
        <w:shd w:val="clear" w:color="auto" w:fill="FFFFFF"/>
        <w:ind w:firstLine="640" w:firstLineChars="200"/>
        <w:rPr>
          <w:rFonts w:hint="eastAsia" w:ascii="方正仿宋_GBK" w:hAnsi="方正仿宋_GBK" w:eastAsia="方正仿宋_GBK" w:cs="方正仿宋_GBK"/>
          <w:color w:val="auto"/>
          <w:sz w:val="32"/>
          <w:szCs w:val="32"/>
          <w:highlight w:val="none"/>
          <w:shd w:val="clear" w:color="auto" w:fill="FFFFFF"/>
        </w:rPr>
      </w:pPr>
      <w:r>
        <w:rPr>
          <w:rFonts w:hint="eastAsia" w:ascii="方正仿宋_GBK" w:hAnsi="方正仿宋_GBK" w:eastAsia="方正仿宋_GBK" w:cs="方正仿宋_GBK"/>
          <w:color w:val="auto"/>
          <w:sz w:val="32"/>
          <w:szCs w:val="32"/>
          <w:highlight w:val="none"/>
          <w:shd w:val="clear" w:color="auto" w:fill="FFFFFF"/>
        </w:rPr>
        <w:t>本单位下设党政办、党群办、经济发展办、民政和社会事务办、平安办、规划建设环保办、财政办、应急办、人大工委办9个综合办事机构。设社区事务服务中心、社区建设服务中心、文化服务中心、农业服务中心、劳动就业和社会保障所、退役军人事务站、综合执法大队7个事业机构。</w:t>
      </w:r>
    </w:p>
    <w:p>
      <w:pPr>
        <w:pStyle w:val="5"/>
        <w:shd w:val="clear" w:color="auto" w:fill="FFFFFF"/>
        <w:ind w:firstLine="642" w:firstLineChars="200"/>
        <w:rPr>
          <w:rStyle w:val="9"/>
          <w:rFonts w:hint="eastAsia" w:ascii="黑体" w:hAnsi="黑体" w:eastAsia="黑体" w:cs="黑体"/>
          <w:sz w:val="32"/>
          <w:szCs w:val="32"/>
          <w:shd w:val="clear" w:color="auto" w:fill="FFFFFF"/>
        </w:rPr>
      </w:pPr>
      <w:r>
        <w:rPr>
          <w:rStyle w:val="9"/>
          <w:rFonts w:hint="eastAsia" w:ascii="黑体" w:hAnsi="黑体" w:eastAsia="黑体" w:cs="黑体"/>
          <w:sz w:val="32"/>
          <w:szCs w:val="32"/>
          <w:shd w:val="clear" w:color="auto" w:fill="FFFFFF"/>
        </w:rPr>
        <w:t>二、部门决算情况说明</w:t>
      </w:r>
    </w:p>
    <w:p>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（一）收入支出决算总体情况说明。</w:t>
      </w:r>
    </w:p>
    <w:p>
      <w:pPr>
        <w:pStyle w:val="5"/>
        <w:shd w:val="clear" w:color="auto" w:fill="FFFFFF"/>
        <w:ind w:firstLine="642" w:firstLineChars="200"/>
        <w:rPr>
          <w:rFonts w:hint="eastAsia" w:ascii="方正仿宋_GBK" w:hAnsi="方正仿宋_GBK" w:eastAsia="方正仿宋_GBK" w:cs="方正仿宋_GBK"/>
          <w:color w:val="FF0000"/>
          <w:sz w:val="32"/>
          <w:szCs w:val="32"/>
          <w:shd w:val="clear" w:color="auto" w:fill="FFFFFF"/>
          <w:lang w:val="en-US" w:eastAsia="zh-CN"/>
        </w:rPr>
      </w:pPr>
      <w:r>
        <w:rPr>
          <w:rStyle w:val="9"/>
          <w:rFonts w:ascii="方正仿宋_GBK" w:hAnsi="方正仿宋_GBK" w:eastAsia="方正仿宋_GBK" w:cs="方正仿宋_GBK"/>
          <w:sz w:val="32"/>
          <w:szCs w:val="32"/>
          <w:shd w:val="clear" w:color="auto" w:fill="FFFFFF"/>
        </w:rPr>
        <w:t>1.总体情</w:t>
      </w:r>
      <w:r>
        <w:rPr>
          <w:rStyle w:val="9"/>
          <w:rFonts w:ascii="方正仿宋_GBK" w:hAnsi="方正仿宋_GBK" w:eastAsia="方正仿宋_GBK" w:cs="方正仿宋_GBK"/>
          <w:color w:val="auto"/>
          <w:sz w:val="32"/>
          <w:szCs w:val="32"/>
          <w:shd w:val="clear" w:color="auto" w:fill="FFFFFF"/>
        </w:rPr>
        <w:t>况。</w:t>
      </w:r>
      <w:r>
        <w:rPr>
          <w:rFonts w:hint="eastAsia" w:ascii="方正仿宋_GBK" w:hAnsi="方正仿宋_GBK" w:eastAsia="方正仿宋_GBK" w:cs="方正仿宋_GBK"/>
          <w:color w:val="auto"/>
          <w:sz w:val="32"/>
          <w:szCs w:val="32"/>
          <w:shd w:val="clear" w:color="auto" w:fill="FFFFFF"/>
          <w:lang w:eastAsia="zh-CN"/>
        </w:rPr>
        <w:t>2024年</w:t>
      </w:r>
      <w:r>
        <w:rPr>
          <w:rFonts w:ascii="方正仿宋_GBK" w:hAnsi="方正仿宋_GBK" w:eastAsia="方正仿宋_GBK" w:cs="方正仿宋_GBK"/>
          <w:color w:val="auto"/>
          <w:sz w:val="32"/>
          <w:szCs w:val="32"/>
          <w:shd w:val="clear" w:color="auto" w:fill="FFFFFF"/>
        </w:rPr>
        <w:t>度收入总计3237.92万元，支出总计</w:t>
      </w:r>
      <w:r>
        <w:rPr>
          <w:rFonts w:ascii="方正仿宋_GBK" w:hAnsi="方正仿宋_GBK" w:eastAsia="方正仿宋_GBK" w:cs="方正仿宋_GBK"/>
          <w:color w:val="auto"/>
          <w:sz w:val="32"/>
          <w:szCs w:val="32"/>
        </w:rPr>
        <w:t>3237.92</w:t>
      </w:r>
      <w:r>
        <w:rPr>
          <w:rFonts w:ascii="方正仿宋_GBK" w:hAnsi="方正仿宋_GBK" w:eastAsia="方正仿宋_GBK" w:cs="方正仿宋_GBK"/>
          <w:color w:val="auto"/>
          <w:sz w:val="32"/>
          <w:szCs w:val="32"/>
          <w:shd w:val="clear" w:color="auto" w:fill="FFFFFF"/>
        </w:rPr>
        <w:t>万元。收、支与2023年度相比，增加754.25万元，增长30.4%，主要原因是</w:t>
      </w:r>
      <w:r>
        <w:rPr>
          <w:rFonts w:hint="eastAsia" w:ascii="方正仿宋_GBK" w:hAnsi="方正仿宋_GBK" w:eastAsia="方正仿宋_GBK" w:cs="方正仿宋_GBK"/>
          <w:color w:val="auto"/>
          <w:sz w:val="32"/>
          <w:szCs w:val="32"/>
          <w:shd w:val="clear" w:color="auto" w:fill="FFFFFF"/>
        </w:rPr>
        <w:t>本年度部门调剂项目资金增加，项目收入上升幅度较大</w:t>
      </w:r>
      <w:r>
        <w:rPr>
          <w:rFonts w:hint="eastAsia" w:ascii="方正仿宋_GBK" w:hAnsi="方正仿宋_GBK" w:eastAsia="方正仿宋_GBK" w:cs="方正仿宋_GBK"/>
          <w:color w:val="auto"/>
          <w:sz w:val="32"/>
          <w:szCs w:val="32"/>
          <w:shd w:val="clear" w:color="auto" w:fill="FFFFFF"/>
          <w:lang w:eastAsia="zh-CN"/>
        </w:rPr>
        <w:t>。</w:t>
      </w:r>
    </w:p>
    <w:p>
      <w:pPr>
        <w:pStyle w:val="5"/>
        <w:snapToGrid w:val="0"/>
        <w:spacing w:before="0" w:beforeAutospacing="0" w:after="0" w:afterAutospacing="0" w:line="600" w:lineRule="exact"/>
        <w:ind w:firstLine="642" w:firstLineChars="200"/>
        <w:jc w:val="both"/>
        <w:rPr>
          <w:rFonts w:hint="default" w:ascii="方正仿宋_GBK" w:hAnsi="方正仿宋_GBK" w:eastAsia="方正仿宋_GBK" w:cs="方正仿宋_GBK"/>
          <w:sz w:val="32"/>
          <w:szCs w:val="32"/>
          <w:shd w:val="clear" w:color="auto" w:fill="FFFFFF"/>
        </w:rPr>
      </w:pPr>
      <w:r>
        <w:rPr>
          <w:rStyle w:val="9"/>
          <w:rFonts w:ascii="方正仿宋_GBK" w:hAnsi="方正仿宋_GBK" w:eastAsia="方正仿宋_GBK" w:cs="方正仿宋_GBK"/>
          <w:sz w:val="32"/>
          <w:szCs w:val="32"/>
          <w:shd w:val="clear" w:color="auto" w:fill="FFFFFF"/>
        </w:rPr>
        <w:t>2.收入情况。</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度收入合计</w:t>
      </w:r>
      <w:r>
        <w:rPr>
          <w:rFonts w:hint="eastAsia" w:ascii="方正仿宋_GBK" w:hAnsi="方正仿宋_GBK" w:eastAsia="方正仿宋_GBK" w:cs="方正仿宋_GBK"/>
          <w:sz w:val="32"/>
          <w:szCs w:val="32"/>
          <w:shd w:val="clear" w:color="auto" w:fill="FFFFFF"/>
        </w:rPr>
        <w:t>3237.92</w:t>
      </w:r>
      <w:r>
        <w:rPr>
          <w:rFonts w:ascii="方正仿宋_GBK" w:hAnsi="方正仿宋_GBK" w:eastAsia="方正仿宋_GBK" w:cs="方正仿宋_GBK"/>
          <w:sz w:val="32"/>
          <w:szCs w:val="32"/>
          <w:shd w:val="clear" w:color="auto" w:fill="FFFFFF"/>
        </w:rPr>
        <w:t>万元，与2023年度相比，增加754.25万元，增长30.4%，主要原因是</w:t>
      </w:r>
      <w:r>
        <w:rPr>
          <w:rFonts w:hint="eastAsia" w:ascii="方正仿宋_GBK" w:hAnsi="方正仿宋_GBK" w:eastAsia="方正仿宋_GBK" w:cs="方正仿宋_GBK"/>
          <w:color w:val="auto"/>
          <w:sz w:val="32"/>
          <w:szCs w:val="32"/>
          <w:shd w:val="clear" w:color="auto" w:fill="FFFFFF"/>
        </w:rPr>
        <w:t>本年度部门调剂项目资金增加，项目收入上升幅度较大</w:t>
      </w:r>
      <w:r>
        <w:rPr>
          <w:rFonts w:hint="eastAsia" w:ascii="方正仿宋_GBK" w:hAnsi="方正仿宋_GBK" w:eastAsia="方正仿宋_GBK" w:cs="方正仿宋_GBK"/>
          <w:color w:val="auto"/>
          <w:sz w:val="32"/>
          <w:szCs w:val="32"/>
          <w:shd w:val="clear" w:color="auto" w:fill="FFFFFF"/>
          <w:lang w:eastAsia="zh-CN"/>
        </w:rPr>
        <w:t>。</w:t>
      </w:r>
      <w:r>
        <w:rPr>
          <w:rFonts w:ascii="方正仿宋_GBK" w:hAnsi="方正仿宋_GBK" w:eastAsia="方正仿宋_GBK" w:cs="方正仿宋_GBK"/>
          <w:sz w:val="32"/>
          <w:szCs w:val="32"/>
          <w:shd w:val="clear" w:color="auto" w:fill="FFFFFF"/>
        </w:rPr>
        <w:t>其中：财政拨款收入</w:t>
      </w:r>
      <w:r>
        <w:rPr>
          <w:rFonts w:ascii="方正仿宋_GBK" w:hAnsi="方正仿宋_GBK" w:eastAsia="方正仿宋_GBK" w:cs="方正仿宋_GBK"/>
          <w:sz w:val="32"/>
          <w:szCs w:val="32"/>
        </w:rPr>
        <w:t>3237.92</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100.00</w:t>
      </w:r>
      <w:r>
        <w:rPr>
          <w:rFonts w:ascii="方正仿宋_GBK" w:hAnsi="方正仿宋_GBK" w:eastAsia="方正仿宋_GBK" w:cs="方正仿宋_GBK"/>
          <w:sz w:val="32"/>
          <w:szCs w:val="32"/>
          <w:shd w:val="clear" w:color="auto" w:fill="FFFFFF"/>
        </w:rPr>
        <w:t>%；事业收入</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万元，占0.00%；经营收入</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万元，占0.00%；其他收入</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万元，占0.00%。此外，使用非财政拨款结余和专用结余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万元，年初结转和结余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w:t>
      </w:r>
    </w:p>
    <w:p>
      <w:pPr>
        <w:pStyle w:val="5"/>
        <w:snapToGrid w:val="0"/>
        <w:spacing w:before="0" w:beforeAutospacing="0" w:after="0" w:afterAutospacing="0" w:line="600" w:lineRule="exact"/>
        <w:ind w:firstLine="642" w:firstLineChars="200"/>
        <w:jc w:val="both"/>
        <w:rPr>
          <w:rFonts w:hint="default" w:ascii="方正仿宋_GBK" w:hAnsi="方正仿宋_GBK" w:eastAsia="方正仿宋_GBK" w:cs="方正仿宋_GBK"/>
          <w:sz w:val="32"/>
          <w:szCs w:val="32"/>
          <w:shd w:val="clear" w:color="auto" w:fill="FFFFFF"/>
        </w:rPr>
      </w:pPr>
      <w:r>
        <w:rPr>
          <w:rStyle w:val="9"/>
          <w:rFonts w:ascii="方正仿宋_GBK" w:hAnsi="方正仿宋_GBK" w:eastAsia="方正仿宋_GBK" w:cs="方正仿宋_GBK"/>
          <w:sz w:val="32"/>
          <w:szCs w:val="32"/>
          <w:shd w:val="clear" w:color="auto" w:fill="FFFFFF"/>
        </w:rPr>
        <w:t>3.支出情况。</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度支出合计</w:t>
      </w:r>
      <w:r>
        <w:rPr>
          <w:rFonts w:ascii="方正仿宋_GBK" w:hAnsi="方正仿宋_GBK" w:eastAsia="方正仿宋_GBK" w:cs="方正仿宋_GBK"/>
          <w:sz w:val="32"/>
          <w:szCs w:val="32"/>
        </w:rPr>
        <w:t>3237.92</w:t>
      </w:r>
      <w:r>
        <w:rPr>
          <w:rFonts w:ascii="方正仿宋_GBK" w:hAnsi="方正仿宋_GBK" w:eastAsia="方正仿宋_GBK" w:cs="方正仿宋_GBK"/>
          <w:sz w:val="32"/>
          <w:szCs w:val="32"/>
          <w:shd w:val="clear" w:color="auto" w:fill="FFFFFF"/>
        </w:rPr>
        <w:t>万元，与2023年度相比，增加754.25万元，增长30.4%，主要</w:t>
      </w:r>
      <w:r>
        <w:rPr>
          <w:rFonts w:ascii="方正仿宋_GBK" w:hAnsi="方正仿宋_GBK" w:eastAsia="方正仿宋_GBK" w:cs="方正仿宋_GBK"/>
          <w:color w:val="auto"/>
          <w:sz w:val="32"/>
          <w:szCs w:val="32"/>
          <w:shd w:val="clear" w:color="auto" w:fill="FFFFFF"/>
        </w:rPr>
        <w:t>原因是</w:t>
      </w:r>
      <w:r>
        <w:rPr>
          <w:rFonts w:hint="eastAsia" w:ascii="方正仿宋_GBK" w:hAnsi="方正仿宋_GBK" w:eastAsia="方正仿宋_GBK" w:cs="方正仿宋_GBK"/>
          <w:color w:val="auto"/>
          <w:sz w:val="32"/>
          <w:szCs w:val="32"/>
          <w:shd w:val="clear" w:color="auto" w:fill="FFFFFF"/>
        </w:rPr>
        <w:t>本年度部门调剂项目资金增加，项目支出上升幅度较大</w:t>
      </w:r>
      <w:r>
        <w:rPr>
          <w:rFonts w:hint="eastAsia" w:ascii="方正仿宋_GBK" w:hAnsi="方正仿宋_GBK" w:eastAsia="方正仿宋_GBK" w:cs="方正仿宋_GBK"/>
          <w:color w:val="auto"/>
          <w:sz w:val="32"/>
          <w:szCs w:val="32"/>
          <w:shd w:val="clear" w:color="auto" w:fill="FFFFFF"/>
          <w:lang w:eastAsia="zh-CN"/>
        </w:rPr>
        <w:t>。</w:t>
      </w:r>
      <w:r>
        <w:rPr>
          <w:rFonts w:ascii="方正仿宋_GBK" w:hAnsi="方正仿宋_GBK" w:eastAsia="方正仿宋_GBK" w:cs="方正仿宋_GBK"/>
          <w:sz w:val="32"/>
          <w:szCs w:val="32"/>
          <w:shd w:val="clear" w:color="auto" w:fill="FFFFFF"/>
        </w:rPr>
        <w:t>其中：基本支出</w:t>
      </w:r>
      <w:r>
        <w:rPr>
          <w:rFonts w:ascii="方正仿宋_GBK" w:hAnsi="方正仿宋_GBK" w:eastAsia="方正仿宋_GBK" w:cs="方正仿宋_GBK"/>
          <w:sz w:val="32"/>
          <w:szCs w:val="32"/>
        </w:rPr>
        <w:t>1081.19</w:t>
      </w:r>
      <w:r>
        <w:rPr>
          <w:rFonts w:ascii="方正仿宋_GBK" w:hAnsi="方正仿宋_GBK" w:eastAsia="方正仿宋_GBK" w:cs="方正仿宋_GBK"/>
          <w:sz w:val="32"/>
          <w:szCs w:val="32"/>
          <w:shd w:val="clear" w:color="auto" w:fill="FFFFFF"/>
        </w:rPr>
        <w:t>万元，占33.39%；项目支出</w:t>
      </w:r>
      <w:r>
        <w:rPr>
          <w:rFonts w:ascii="方正仿宋_GBK" w:hAnsi="方正仿宋_GBK" w:eastAsia="方正仿宋_GBK" w:cs="方正仿宋_GBK"/>
          <w:sz w:val="32"/>
          <w:szCs w:val="32"/>
        </w:rPr>
        <w:t>2156.74</w:t>
      </w:r>
      <w:r>
        <w:rPr>
          <w:rFonts w:ascii="方正仿宋_GBK" w:hAnsi="方正仿宋_GBK" w:eastAsia="方正仿宋_GBK" w:cs="方正仿宋_GBK"/>
          <w:sz w:val="32"/>
          <w:szCs w:val="32"/>
          <w:shd w:val="clear" w:color="auto" w:fill="FFFFFF"/>
        </w:rPr>
        <w:t>万元，占66.61%；经营支出</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万元，占0.00%。此外，结余分配</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w:t>
      </w:r>
    </w:p>
    <w:p>
      <w:pPr>
        <w:pStyle w:val="5"/>
        <w:snapToGrid w:val="0"/>
        <w:spacing w:before="0" w:beforeAutospacing="0" w:after="0" w:afterAutospacing="0" w:line="600" w:lineRule="exact"/>
        <w:ind w:firstLine="642" w:firstLineChars="200"/>
        <w:jc w:val="both"/>
        <w:rPr>
          <w:rFonts w:hint="eastAsia" w:ascii="方正仿宋_GBK" w:hAnsi="方正仿宋_GBK" w:eastAsia="方正仿宋_GBK" w:cs="方正仿宋_GBK"/>
          <w:sz w:val="32"/>
          <w:szCs w:val="32"/>
          <w:lang w:eastAsia="zh-CN"/>
        </w:rPr>
      </w:pPr>
      <w:r>
        <w:rPr>
          <w:rStyle w:val="9"/>
          <w:rFonts w:ascii="方正仿宋_GBK" w:hAnsi="方正仿宋_GBK" w:eastAsia="方正仿宋_GBK" w:cs="方正仿宋_GBK"/>
          <w:sz w:val="32"/>
          <w:szCs w:val="32"/>
          <w:shd w:val="clear" w:color="auto" w:fill="FFFFFF"/>
        </w:rPr>
        <w:t>4.结转结余情况。</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度年末结转和结余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万元，与2023年度相比，无增减</w:t>
      </w:r>
      <w:r>
        <w:rPr>
          <w:rFonts w:hint="eastAsia" w:ascii="方正仿宋_GBK" w:hAnsi="方正仿宋_GBK" w:eastAsia="方正仿宋_GBK" w:cs="方正仿宋_GBK"/>
          <w:sz w:val="32"/>
          <w:szCs w:val="32"/>
          <w:shd w:val="clear" w:color="auto" w:fill="FFFFFF"/>
          <w:lang w:eastAsia="zh-CN"/>
        </w:rPr>
        <w:t>。</w:t>
      </w:r>
    </w:p>
    <w:p>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（二）财政拨款收入支出决算总体情况说明</w:t>
      </w:r>
    </w:p>
    <w:p>
      <w:pPr>
        <w:pStyle w:val="5"/>
        <w:snapToGrid w:val="0"/>
        <w:spacing w:before="0" w:beforeAutospacing="0" w:after="0" w:afterAutospacing="0" w:line="600" w:lineRule="exact"/>
        <w:ind w:firstLine="640" w:firstLineChars="200"/>
        <w:jc w:val="both"/>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度财政拨款收、支总计</w:t>
      </w:r>
      <w:r>
        <w:rPr>
          <w:rFonts w:hint="eastAsia" w:ascii="方正仿宋_GBK" w:hAnsi="方正仿宋_GBK" w:eastAsia="方正仿宋_GBK" w:cs="方正仿宋_GBK"/>
          <w:sz w:val="32"/>
          <w:szCs w:val="32"/>
          <w:shd w:val="clear" w:color="auto" w:fill="FFFFFF"/>
        </w:rPr>
        <w:t>3237.92</w:t>
      </w:r>
      <w:r>
        <w:rPr>
          <w:rFonts w:ascii="方正仿宋_GBK" w:hAnsi="方正仿宋_GBK" w:eastAsia="方正仿宋_GBK" w:cs="方正仿宋_GBK"/>
          <w:sz w:val="32"/>
          <w:szCs w:val="32"/>
          <w:shd w:val="clear" w:color="auto" w:fill="FFFFFF"/>
        </w:rPr>
        <w:t>万元。与2022年相比，财政拨款收、支总计各增加754.25万元，增长30.4%。</w:t>
      </w:r>
      <w:r>
        <w:rPr>
          <w:rFonts w:ascii="方正仿宋_GBK" w:hAnsi="方正仿宋_GBK" w:eastAsia="方正仿宋_GBK" w:cs="方正仿宋_GBK"/>
          <w:color w:val="auto"/>
          <w:sz w:val="32"/>
          <w:szCs w:val="32"/>
          <w:shd w:val="clear" w:color="auto" w:fill="FFFFFF"/>
        </w:rPr>
        <w:t>主要原因是</w:t>
      </w:r>
      <w:r>
        <w:rPr>
          <w:rFonts w:hint="eastAsia" w:ascii="方正仿宋_GBK" w:hAnsi="方正仿宋_GBK" w:eastAsia="方正仿宋_GBK" w:cs="方正仿宋_GBK"/>
          <w:color w:val="auto"/>
          <w:sz w:val="32"/>
          <w:szCs w:val="32"/>
          <w:shd w:val="clear" w:color="auto" w:fill="FFFFFF"/>
        </w:rPr>
        <w:t>本年度部门调剂项目资金增加，项目收</w:t>
      </w:r>
      <w:r>
        <w:rPr>
          <w:rFonts w:hint="eastAsia" w:ascii="方正仿宋_GBK" w:hAnsi="方正仿宋_GBK" w:eastAsia="方正仿宋_GBK" w:cs="方正仿宋_GBK"/>
          <w:color w:val="auto"/>
          <w:sz w:val="32"/>
          <w:szCs w:val="32"/>
          <w:shd w:val="clear" w:color="auto" w:fill="FFFFFF"/>
          <w:lang w:eastAsia="zh-CN"/>
        </w:rPr>
        <w:t>支</w:t>
      </w:r>
      <w:r>
        <w:rPr>
          <w:rFonts w:hint="eastAsia" w:ascii="方正仿宋_GBK" w:hAnsi="方正仿宋_GBK" w:eastAsia="方正仿宋_GBK" w:cs="方正仿宋_GBK"/>
          <w:color w:val="auto"/>
          <w:sz w:val="32"/>
          <w:szCs w:val="32"/>
          <w:shd w:val="clear" w:color="auto" w:fill="FFFFFF"/>
        </w:rPr>
        <w:t>上升幅度较大</w:t>
      </w:r>
      <w:r>
        <w:rPr>
          <w:rFonts w:hint="eastAsia" w:ascii="方正仿宋_GBK" w:hAnsi="方正仿宋_GBK" w:eastAsia="方正仿宋_GBK" w:cs="方正仿宋_GBK"/>
          <w:color w:val="auto"/>
          <w:sz w:val="32"/>
          <w:szCs w:val="32"/>
          <w:shd w:val="clear" w:color="auto" w:fill="FFFFFF"/>
          <w:lang w:eastAsia="zh-CN"/>
        </w:rPr>
        <w:t>。</w:t>
      </w:r>
    </w:p>
    <w:p>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（三）一般公共预算财政拨款收入支出决算情况说明</w:t>
      </w:r>
    </w:p>
    <w:p>
      <w:pPr>
        <w:pStyle w:val="5"/>
        <w:snapToGrid w:val="0"/>
        <w:spacing w:before="0" w:beforeAutospacing="0" w:after="0" w:afterAutospacing="0" w:line="600" w:lineRule="exact"/>
        <w:ind w:firstLine="642" w:firstLineChars="200"/>
        <w:jc w:val="both"/>
        <w:rPr>
          <w:rFonts w:hint="default" w:ascii="方正仿宋_GBK" w:hAnsi="方正仿宋_GBK" w:eastAsia="方正仿宋_GBK" w:cs="方正仿宋_GBK"/>
          <w:sz w:val="32"/>
          <w:szCs w:val="32"/>
        </w:rPr>
      </w:pPr>
      <w:r>
        <w:rPr>
          <w:rStyle w:val="9"/>
          <w:rFonts w:ascii="方正仿宋_GBK" w:hAnsi="方正仿宋_GBK" w:eastAsia="方正仿宋_GBK" w:cs="方正仿宋_GBK"/>
          <w:sz w:val="32"/>
          <w:szCs w:val="32"/>
          <w:shd w:val="clear" w:color="auto" w:fill="FFFFFF"/>
        </w:rPr>
        <w:t>1.收入情况。</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度一般公共预算财政拨款收入</w:t>
      </w:r>
      <w:r>
        <w:rPr>
          <w:rFonts w:ascii="方正仿宋_GBK" w:hAnsi="方正仿宋_GBK" w:eastAsia="方正仿宋_GBK" w:cs="方正仿宋_GBK"/>
          <w:sz w:val="32"/>
          <w:szCs w:val="32"/>
        </w:rPr>
        <w:t>3066.26</w:t>
      </w:r>
      <w:r>
        <w:rPr>
          <w:rFonts w:ascii="方正仿宋_GBK" w:hAnsi="方正仿宋_GBK" w:eastAsia="方正仿宋_GBK" w:cs="方正仿宋_GBK"/>
          <w:sz w:val="32"/>
          <w:szCs w:val="32"/>
          <w:shd w:val="clear" w:color="auto" w:fill="FFFFFF"/>
        </w:rPr>
        <w:t>万元，与2023年度相比，增加632.07万元，增长26.0</w:t>
      </w:r>
      <w:r>
        <w:rPr>
          <w:rFonts w:ascii="方正仿宋_GBK" w:hAnsi="方正仿宋_GBK" w:eastAsia="方正仿宋_GBK" w:cs="方正仿宋_GBK"/>
          <w:b w:val="0"/>
          <w:bCs w:val="0"/>
          <w:color w:val="auto"/>
          <w:sz w:val="32"/>
          <w:szCs w:val="32"/>
          <w:shd w:val="clear" w:color="auto" w:fill="FFFFFF"/>
        </w:rPr>
        <w:t>%。主要原因是</w:t>
      </w:r>
      <w:r>
        <w:rPr>
          <w:rFonts w:hint="eastAsia" w:ascii="方正仿宋_GBK" w:hAnsi="方正仿宋_GBK" w:eastAsia="方正仿宋_GBK" w:cs="方正仿宋_GBK"/>
          <w:b w:val="0"/>
          <w:bCs w:val="0"/>
          <w:color w:val="auto"/>
          <w:sz w:val="32"/>
          <w:szCs w:val="32"/>
          <w:shd w:val="clear" w:color="auto" w:fill="FFFFFF"/>
        </w:rPr>
        <w:t>本年度项目数量增加，项目收入上升幅度较大</w:t>
      </w:r>
      <w:r>
        <w:rPr>
          <w:rFonts w:hint="eastAsia" w:ascii="方正仿宋_GBK" w:hAnsi="方正仿宋_GBK" w:eastAsia="方正仿宋_GBK" w:cs="方正仿宋_GBK"/>
          <w:b w:val="0"/>
          <w:bCs w:val="0"/>
          <w:color w:val="auto"/>
          <w:sz w:val="32"/>
          <w:szCs w:val="32"/>
          <w:shd w:val="clear" w:color="auto" w:fill="FFFFFF"/>
          <w:lang w:eastAsia="zh-CN"/>
        </w:rPr>
        <w:t>。</w:t>
      </w:r>
      <w:r>
        <w:rPr>
          <w:rFonts w:ascii="方正仿宋_GBK" w:hAnsi="方正仿宋_GBK" w:eastAsia="方正仿宋_GBK" w:cs="方正仿宋_GBK"/>
          <w:color w:val="auto"/>
          <w:sz w:val="32"/>
          <w:szCs w:val="32"/>
          <w:shd w:val="clear" w:color="auto" w:fill="FFFFFF"/>
        </w:rPr>
        <w:t>较年初预算数增加877.51万元，增长40.1%。主要原因是</w:t>
      </w:r>
      <w:r>
        <w:rPr>
          <w:rFonts w:hint="eastAsia" w:ascii="方正仿宋_GBK" w:hAnsi="方正仿宋_GBK" w:eastAsia="方正仿宋_GBK" w:cs="方正仿宋_GBK"/>
          <w:color w:val="auto"/>
          <w:sz w:val="32"/>
          <w:szCs w:val="32"/>
          <w:shd w:val="clear" w:color="auto" w:fill="FFFFFF"/>
        </w:rPr>
        <w:t>追加五经普普查、城周森林屏障及通道绿化土地</w:t>
      </w:r>
      <w:r>
        <w:rPr>
          <w:rFonts w:hint="eastAsia" w:ascii="方正仿宋_GBK" w:hAnsi="方正仿宋_GBK" w:eastAsia="方正仿宋_GBK" w:cs="方正仿宋_GBK"/>
          <w:color w:val="auto"/>
          <w:sz w:val="32"/>
          <w:szCs w:val="32"/>
          <w:shd w:val="clear" w:color="auto" w:fill="FFFFFF"/>
          <w:lang w:eastAsia="zh-CN"/>
        </w:rPr>
        <w:t>补助</w:t>
      </w:r>
      <w:r>
        <w:rPr>
          <w:rFonts w:hint="eastAsia" w:ascii="方正仿宋_GBK" w:hAnsi="方正仿宋_GBK" w:eastAsia="方正仿宋_GBK" w:cs="方正仿宋_GBK"/>
          <w:color w:val="auto"/>
          <w:sz w:val="32"/>
          <w:szCs w:val="32"/>
          <w:shd w:val="clear" w:color="auto" w:fill="FFFFFF"/>
        </w:rPr>
        <w:t>、非粮化图斑整治、综合服务体提档升级建设等资金</w:t>
      </w:r>
      <w:r>
        <w:rPr>
          <w:rFonts w:ascii="方正仿宋_GBK" w:hAnsi="方正仿宋_GBK" w:eastAsia="方正仿宋_GBK" w:cs="方正仿宋_GBK"/>
          <w:color w:val="auto"/>
          <w:sz w:val="32"/>
          <w:szCs w:val="32"/>
          <w:shd w:val="clear" w:color="auto" w:fill="FFFFFF"/>
        </w:rPr>
        <w:t>。此外，年初财政拨款结转和结余</w:t>
      </w:r>
      <w:r>
        <w:rPr>
          <w:rFonts w:ascii="方正仿宋_GBK" w:hAnsi="方正仿宋_GBK" w:eastAsia="方正仿宋_GBK" w:cs="方正仿宋_GBK"/>
          <w:color w:val="auto"/>
          <w:sz w:val="32"/>
          <w:szCs w:val="32"/>
        </w:rPr>
        <w:t>0.00</w:t>
      </w:r>
      <w:r>
        <w:rPr>
          <w:rFonts w:ascii="方正仿宋_GBK" w:hAnsi="方正仿宋_GBK" w:eastAsia="方正仿宋_GBK" w:cs="方正仿宋_GBK"/>
          <w:color w:val="auto"/>
          <w:sz w:val="32"/>
          <w:szCs w:val="32"/>
          <w:shd w:val="clear" w:color="auto" w:fill="FFFFFF"/>
        </w:rPr>
        <w:t>万元。</w:t>
      </w:r>
    </w:p>
    <w:p>
      <w:pPr>
        <w:pStyle w:val="5"/>
        <w:snapToGrid w:val="0"/>
        <w:spacing w:before="0" w:beforeAutospacing="0" w:after="0" w:afterAutospacing="0" w:line="600" w:lineRule="exact"/>
        <w:ind w:firstLine="642" w:firstLineChars="200"/>
        <w:jc w:val="both"/>
        <w:rPr>
          <w:rFonts w:hint="default" w:ascii="方正仿宋_GBK" w:hAnsi="方正仿宋_GBK" w:eastAsia="方正仿宋_GBK" w:cs="方正仿宋_GBK"/>
          <w:sz w:val="32"/>
          <w:szCs w:val="32"/>
        </w:rPr>
      </w:pPr>
      <w:r>
        <w:rPr>
          <w:rStyle w:val="9"/>
          <w:rFonts w:ascii="方正仿宋_GBK" w:hAnsi="方正仿宋_GBK" w:eastAsia="方正仿宋_GBK" w:cs="方正仿宋_GBK"/>
          <w:sz w:val="32"/>
          <w:szCs w:val="32"/>
          <w:shd w:val="clear" w:color="auto" w:fill="FFFFFF"/>
        </w:rPr>
        <w:t>2.支出情况。</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度一般公共预算财政拨款支出</w:t>
      </w:r>
      <w:r>
        <w:rPr>
          <w:rFonts w:ascii="方正仿宋_GBK" w:hAnsi="方正仿宋_GBK" w:eastAsia="方正仿宋_GBK" w:cs="方正仿宋_GBK"/>
          <w:color w:val="auto"/>
          <w:sz w:val="32"/>
          <w:szCs w:val="32"/>
        </w:rPr>
        <w:t>3066.26</w:t>
      </w:r>
      <w:r>
        <w:rPr>
          <w:rFonts w:ascii="方正仿宋_GBK" w:hAnsi="方正仿宋_GBK" w:eastAsia="方正仿宋_GBK" w:cs="方正仿宋_GBK"/>
          <w:color w:val="auto"/>
          <w:sz w:val="32"/>
          <w:szCs w:val="32"/>
          <w:shd w:val="clear" w:color="auto" w:fill="FFFFFF"/>
        </w:rPr>
        <w:t>万元，与2023年度相比，增加632.07万元，增长26.0%。主要原因是</w:t>
      </w:r>
      <w:r>
        <w:rPr>
          <w:rFonts w:hint="eastAsia" w:ascii="方正仿宋_GBK" w:hAnsi="方正仿宋_GBK" w:eastAsia="方正仿宋_GBK" w:cs="方正仿宋_GBK"/>
          <w:color w:val="auto"/>
          <w:sz w:val="32"/>
          <w:szCs w:val="32"/>
          <w:shd w:val="clear" w:color="auto" w:fill="FFFFFF"/>
        </w:rPr>
        <w:t>本年度项目数量增加，项目</w:t>
      </w:r>
      <w:r>
        <w:rPr>
          <w:rFonts w:hint="eastAsia" w:ascii="方正仿宋_GBK" w:hAnsi="方正仿宋_GBK" w:eastAsia="方正仿宋_GBK" w:cs="方正仿宋_GBK"/>
          <w:color w:val="auto"/>
          <w:sz w:val="32"/>
          <w:szCs w:val="32"/>
          <w:shd w:val="clear" w:color="auto" w:fill="FFFFFF"/>
          <w:lang w:val="en-US" w:eastAsia="zh-CN"/>
        </w:rPr>
        <w:t>支出</w:t>
      </w:r>
      <w:r>
        <w:rPr>
          <w:rFonts w:hint="eastAsia" w:ascii="方正仿宋_GBK" w:hAnsi="方正仿宋_GBK" w:eastAsia="方正仿宋_GBK" w:cs="方正仿宋_GBK"/>
          <w:color w:val="auto"/>
          <w:sz w:val="32"/>
          <w:szCs w:val="32"/>
          <w:shd w:val="clear" w:color="auto" w:fill="FFFFFF"/>
        </w:rPr>
        <w:t>上升幅度较大</w:t>
      </w:r>
      <w:r>
        <w:rPr>
          <w:rFonts w:ascii="方正仿宋_GBK" w:hAnsi="方正仿宋_GBK" w:eastAsia="方正仿宋_GBK" w:cs="方正仿宋_GBK"/>
          <w:color w:val="auto"/>
          <w:sz w:val="32"/>
          <w:szCs w:val="32"/>
          <w:shd w:val="clear" w:color="auto" w:fill="FFFFFF"/>
        </w:rPr>
        <w:t>。</w:t>
      </w:r>
      <w:r>
        <w:rPr>
          <w:rFonts w:ascii="方正仿宋_GBK" w:hAnsi="方正仿宋_GBK" w:eastAsia="方正仿宋_GBK" w:cs="方正仿宋_GBK"/>
          <w:sz w:val="32"/>
          <w:szCs w:val="32"/>
          <w:shd w:val="clear" w:color="auto" w:fill="FFFFFF"/>
        </w:rPr>
        <w:t>较年初预算数增加877.51万元，增长40.1%。主要原</w:t>
      </w:r>
      <w:r>
        <w:rPr>
          <w:rFonts w:ascii="方正仿宋_GBK" w:hAnsi="方正仿宋_GBK" w:eastAsia="方正仿宋_GBK" w:cs="方正仿宋_GBK"/>
          <w:color w:val="auto"/>
          <w:sz w:val="32"/>
          <w:szCs w:val="32"/>
          <w:shd w:val="clear" w:color="auto" w:fill="FFFFFF"/>
        </w:rPr>
        <w:t>因是</w:t>
      </w:r>
      <w:r>
        <w:rPr>
          <w:rFonts w:hint="eastAsia" w:ascii="方正仿宋_GBK" w:hAnsi="方正仿宋_GBK" w:eastAsia="方正仿宋_GBK" w:cs="方正仿宋_GBK"/>
          <w:color w:val="auto"/>
          <w:sz w:val="32"/>
          <w:szCs w:val="32"/>
          <w:shd w:val="clear" w:color="auto" w:fill="FFFFFF"/>
        </w:rPr>
        <w:t>追加五经普普查、城周森林屏障及通道绿化土地补助、非粮化图斑整治、综合服务体提档升级建设等资金</w:t>
      </w:r>
      <w:r>
        <w:rPr>
          <w:rFonts w:ascii="方正仿宋_GBK" w:hAnsi="方正仿宋_GBK" w:eastAsia="方正仿宋_GBK" w:cs="方正仿宋_GBK"/>
          <w:color w:val="auto"/>
          <w:sz w:val="32"/>
          <w:szCs w:val="32"/>
          <w:shd w:val="clear" w:color="auto" w:fill="FFFFFF"/>
        </w:rPr>
        <w:t>。</w:t>
      </w:r>
    </w:p>
    <w:p>
      <w:pPr>
        <w:pStyle w:val="5"/>
        <w:snapToGrid w:val="0"/>
        <w:spacing w:before="0" w:beforeAutospacing="0" w:after="0" w:afterAutospacing="0" w:line="600" w:lineRule="exact"/>
        <w:ind w:firstLine="642" w:firstLineChars="200"/>
        <w:jc w:val="both"/>
        <w:rPr>
          <w:rFonts w:hint="default" w:ascii="方正仿宋_GBK" w:hAnsi="方正仿宋_GBK" w:eastAsia="方正仿宋_GBK" w:cs="方正仿宋_GBK"/>
          <w:sz w:val="32"/>
          <w:szCs w:val="32"/>
        </w:rPr>
      </w:pPr>
      <w:r>
        <w:rPr>
          <w:rStyle w:val="9"/>
          <w:rFonts w:ascii="方正仿宋_GBK" w:hAnsi="方正仿宋_GBK" w:eastAsia="方正仿宋_GBK" w:cs="方正仿宋_GBK"/>
          <w:sz w:val="32"/>
          <w:szCs w:val="32"/>
          <w:shd w:val="clear" w:color="auto" w:fill="FFFFFF"/>
        </w:rPr>
        <w:t>3.结转结余情况。</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度年末一般公共预算财政拨款结转和结余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万元，与2023年</w:t>
      </w:r>
      <w:r>
        <w:rPr>
          <w:rFonts w:ascii="方正仿宋_GBK" w:hAnsi="方正仿宋_GBK" w:eastAsia="方正仿宋_GBK" w:cs="方正仿宋_GBK"/>
          <w:color w:val="auto"/>
          <w:sz w:val="32"/>
          <w:szCs w:val="32"/>
          <w:shd w:val="clear" w:color="auto" w:fill="FFFFFF"/>
        </w:rPr>
        <w:t>度相比，无增减。</w:t>
      </w:r>
    </w:p>
    <w:p>
      <w:pPr>
        <w:pStyle w:val="5"/>
        <w:snapToGrid w:val="0"/>
        <w:spacing w:before="0" w:beforeAutospacing="0" w:after="0" w:afterAutospacing="0" w:line="600" w:lineRule="exact"/>
        <w:ind w:firstLine="642" w:firstLineChars="200"/>
        <w:jc w:val="both"/>
        <w:rPr>
          <w:rFonts w:hint="default" w:ascii="方正仿宋_GBK" w:hAnsi="方正仿宋_GBK" w:eastAsia="方正仿宋_GBK" w:cs="方正仿宋_GBK"/>
          <w:color w:val="FF0000"/>
          <w:sz w:val="32"/>
          <w:szCs w:val="32"/>
          <w:highlight w:val="cyan"/>
          <w:shd w:val="clear" w:color="auto" w:fill="FFFFFF"/>
        </w:rPr>
      </w:pPr>
      <w:r>
        <w:rPr>
          <w:rStyle w:val="9"/>
          <w:rFonts w:ascii="方正仿宋_GBK" w:hAnsi="方正仿宋_GBK" w:eastAsia="方正仿宋_GBK" w:cs="方正仿宋_GBK"/>
          <w:sz w:val="32"/>
          <w:szCs w:val="32"/>
          <w:shd w:val="clear" w:color="auto" w:fill="FFFFFF"/>
        </w:rPr>
        <w:t xml:space="preserve"> 4.比较情况。</w:t>
      </w:r>
      <w:r>
        <w:rPr>
          <w:rFonts w:ascii="方正仿宋_GBK" w:hAnsi="方正仿宋_GBK" w:eastAsia="方正仿宋_GBK" w:cs="方正仿宋_GBK"/>
          <w:sz w:val="32"/>
          <w:szCs w:val="32"/>
          <w:shd w:val="clear" w:color="auto" w:fill="FFFFFF"/>
        </w:rPr>
        <w:t>本部门</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度一般公共预算财政拨款支出主要用于以下几个方面：</w:t>
      </w:r>
    </w:p>
    <w:p>
      <w:pPr>
        <w:pStyle w:val="5"/>
        <w:snapToGrid w:val="0"/>
        <w:spacing w:before="0" w:beforeAutospacing="0" w:after="0" w:afterAutospacing="0" w:line="600" w:lineRule="exact"/>
        <w:ind w:firstLine="640" w:firstLineChars="200"/>
        <w:jc w:val="both"/>
        <w:rPr>
          <w:rFonts w:hint="default" w:ascii="方正仿宋_GBK" w:hAnsi="方正仿宋_GBK" w:eastAsia="方正仿宋_GBK" w:cs="方正仿宋_GBK"/>
          <w:color w:val="auto"/>
          <w:sz w:val="32"/>
          <w:szCs w:val="32"/>
        </w:rPr>
      </w:pPr>
      <w:r>
        <w:rPr>
          <w:rFonts w:ascii="方正仿宋_GBK" w:hAnsi="方正仿宋_GBK" w:eastAsia="方正仿宋_GBK" w:cs="方正仿宋_GBK"/>
          <w:color w:val="auto"/>
          <w:sz w:val="32"/>
          <w:szCs w:val="32"/>
          <w:shd w:val="clear" w:color="auto" w:fill="FFFFFF"/>
        </w:rPr>
        <w:t>（1）一般公共服务支出</w:t>
      </w:r>
      <w:r>
        <w:rPr>
          <w:rFonts w:ascii="方正仿宋_GBK" w:hAnsi="方正仿宋_GBK" w:eastAsia="方正仿宋_GBK" w:cs="方正仿宋_GBK"/>
          <w:color w:val="auto"/>
          <w:sz w:val="32"/>
          <w:szCs w:val="32"/>
        </w:rPr>
        <w:t>1105.11</w:t>
      </w:r>
      <w:r>
        <w:rPr>
          <w:rFonts w:ascii="方正仿宋_GBK" w:hAnsi="方正仿宋_GBK" w:eastAsia="方正仿宋_GBK" w:cs="方正仿宋_GBK"/>
          <w:color w:val="auto"/>
          <w:sz w:val="32"/>
          <w:szCs w:val="32"/>
          <w:shd w:val="clear" w:color="auto" w:fill="FFFFFF"/>
        </w:rPr>
        <w:t>万元，占</w:t>
      </w:r>
      <w:r>
        <w:rPr>
          <w:rFonts w:ascii="方正仿宋_GBK" w:hAnsi="方正仿宋_GBK" w:eastAsia="方正仿宋_GBK" w:cs="方正仿宋_GBK"/>
          <w:color w:val="auto"/>
          <w:sz w:val="32"/>
          <w:szCs w:val="32"/>
        </w:rPr>
        <w:t>36.04</w:t>
      </w:r>
      <w:r>
        <w:rPr>
          <w:rFonts w:ascii="方正仿宋_GBK" w:hAnsi="方正仿宋_GBK" w:eastAsia="方正仿宋_GBK" w:cs="方正仿宋_GBK"/>
          <w:color w:val="auto"/>
          <w:sz w:val="32"/>
          <w:szCs w:val="32"/>
          <w:shd w:val="clear" w:color="auto" w:fill="FFFFFF"/>
        </w:rPr>
        <w:t>%，较年初预算数增加343.31万元，增长45.1%，主要原因是</w:t>
      </w:r>
      <w:r>
        <w:rPr>
          <w:rFonts w:hint="eastAsia" w:ascii="方正仿宋_GBK" w:hAnsi="方正仿宋_GBK" w:eastAsia="方正仿宋_GBK" w:cs="方正仿宋_GBK"/>
          <w:color w:val="auto"/>
          <w:sz w:val="32"/>
          <w:szCs w:val="32"/>
          <w:shd w:val="clear" w:color="auto" w:fill="FFFFFF"/>
        </w:rPr>
        <w:t>本年度财政追加的非税收入返还资金、</w:t>
      </w:r>
      <w:r>
        <w:rPr>
          <w:rFonts w:hint="eastAsia" w:ascii="方正仿宋_GBK" w:hAnsi="方正仿宋_GBK" w:eastAsia="方正仿宋_GBK" w:cs="方正仿宋_GBK"/>
          <w:color w:val="auto"/>
          <w:sz w:val="32"/>
          <w:szCs w:val="32"/>
          <w:shd w:val="clear" w:color="auto" w:fill="FFFFFF"/>
          <w:lang w:eastAsia="zh-CN"/>
        </w:rPr>
        <w:t>五经普普查</w:t>
      </w:r>
      <w:r>
        <w:rPr>
          <w:rFonts w:hint="eastAsia" w:ascii="方正仿宋_GBK" w:hAnsi="方正仿宋_GBK" w:eastAsia="方正仿宋_GBK" w:cs="方正仿宋_GBK"/>
          <w:color w:val="auto"/>
          <w:sz w:val="32"/>
          <w:szCs w:val="32"/>
          <w:shd w:val="clear" w:color="auto" w:fill="FFFFFF"/>
        </w:rPr>
        <w:t>、综合服务体提档升级建设以及其他阶段性重点工作开展追加发生的经费支出引起</w:t>
      </w:r>
      <w:r>
        <w:rPr>
          <w:rFonts w:ascii="方正仿宋_GBK" w:hAnsi="方正仿宋_GBK" w:eastAsia="方正仿宋_GBK" w:cs="方正仿宋_GBK"/>
          <w:color w:val="auto"/>
          <w:sz w:val="32"/>
          <w:szCs w:val="32"/>
          <w:shd w:val="clear" w:color="auto" w:fill="FFFFFF"/>
        </w:rPr>
        <w:t>。</w:t>
      </w:r>
    </w:p>
    <w:p>
      <w:pPr>
        <w:pStyle w:val="5"/>
        <w:snapToGrid w:val="0"/>
        <w:spacing w:before="0" w:beforeAutospacing="0" w:after="0" w:afterAutospacing="0" w:line="600" w:lineRule="exact"/>
        <w:ind w:firstLine="640" w:firstLineChars="200"/>
        <w:jc w:val="both"/>
        <w:rPr>
          <w:rFonts w:hint="default" w:ascii="方正仿宋_GBK" w:hAnsi="方正仿宋_GBK" w:eastAsia="方正仿宋_GBK" w:cs="方正仿宋_GBK"/>
          <w:color w:val="auto"/>
          <w:sz w:val="32"/>
          <w:szCs w:val="32"/>
        </w:rPr>
      </w:pPr>
      <w:r>
        <w:rPr>
          <w:rFonts w:ascii="方正仿宋_GBK" w:hAnsi="方正仿宋_GBK" w:eastAsia="方正仿宋_GBK" w:cs="方正仿宋_GBK"/>
          <w:color w:val="auto"/>
          <w:sz w:val="32"/>
          <w:szCs w:val="32"/>
          <w:shd w:val="clear" w:color="auto" w:fill="FFFFFF"/>
        </w:rPr>
        <w:t>（</w:t>
      </w:r>
      <w:r>
        <w:rPr>
          <w:rFonts w:hint="eastAsia" w:ascii="方正仿宋_GBK" w:hAnsi="方正仿宋_GBK" w:eastAsia="方正仿宋_GBK" w:cs="方正仿宋_GBK"/>
          <w:color w:val="auto"/>
          <w:sz w:val="32"/>
          <w:szCs w:val="32"/>
          <w:shd w:val="clear" w:color="auto" w:fill="FFFFFF"/>
          <w:lang w:val="en-US" w:eastAsia="zh-CN"/>
        </w:rPr>
        <w:t>2</w:t>
      </w:r>
      <w:r>
        <w:rPr>
          <w:rFonts w:ascii="方正仿宋_GBK" w:hAnsi="方正仿宋_GBK" w:eastAsia="方正仿宋_GBK" w:cs="方正仿宋_GBK"/>
          <w:color w:val="auto"/>
          <w:sz w:val="32"/>
          <w:szCs w:val="32"/>
          <w:shd w:val="clear" w:color="auto" w:fill="FFFFFF"/>
        </w:rPr>
        <w:t>）公共安全支出</w:t>
      </w:r>
      <w:r>
        <w:rPr>
          <w:rFonts w:ascii="方正仿宋_GBK" w:hAnsi="方正仿宋_GBK" w:eastAsia="方正仿宋_GBK" w:cs="方正仿宋_GBK"/>
          <w:color w:val="auto"/>
          <w:sz w:val="32"/>
          <w:szCs w:val="32"/>
        </w:rPr>
        <w:t>104.66</w:t>
      </w:r>
      <w:r>
        <w:rPr>
          <w:rFonts w:ascii="方正仿宋_GBK" w:hAnsi="方正仿宋_GBK" w:eastAsia="方正仿宋_GBK" w:cs="方正仿宋_GBK"/>
          <w:color w:val="auto"/>
          <w:sz w:val="32"/>
          <w:szCs w:val="32"/>
          <w:shd w:val="clear" w:color="auto" w:fill="FFFFFF"/>
        </w:rPr>
        <w:t>万元，占</w:t>
      </w:r>
      <w:r>
        <w:rPr>
          <w:rFonts w:ascii="方正仿宋_GBK" w:hAnsi="方正仿宋_GBK" w:eastAsia="方正仿宋_GBK" w:cs="方正仿宋_GBK"/>
          <w:color w:val="auto"/>
          <w:sz w:val="32"/>
          <w:szCs w:val="32"/>
        </w:rPr>
        <w:t>3.41</w:t>
      </w:r>
      <w:r>
        <w:rPr>
          <w:rFonts w:ascii="方正仿宋_GBK" w:hAnsi="方正仿宋_GBK" w:eastAsia="方正仿宋_GBK" w:cs="方正仿宋_GBK"/>
          <w:color w:val="auto"/>
          <w:sz w:val="32"/>
          <w:szCs w:val="32"/>
          <w:shd w:val="clear" w:color="auto" w:fill="FFFFFF"/>
        </w:rPr>
        <w:t>%，较年初预算数增加104.66万元，增长100.0%，主要原因是</w:t>
      </w:r>
      <w:r>
        <w:rPr>
          <w:rFonts w:hint="eastAsia" w:ascii="方正仿宋_GBK" w:hAnsi="方正仿宋_GBK" w:eastAsia="方正仿宋_GBK" w:cs="方正仿宋_GBK"/>
          <w:color w:val="auto"/>
          <w:sz w:val="32"/>
          <w:szCs w:val="32"/>
          <w:shd w:val="clear" w:color="auto" w:fill="FFFFFF"/>
          <w:lang w:val="en-US" w:eastAsia="zh-CN"/>
        </w:rPr>
        <w:t>年中调剂</w:t>
      </w:r>
      <w:r>
        <w:rPr>
          <w:rFonts w:hint="eastAsia" w:ascii="方正仿宋_GBK" w:hAnsi="方正仿宋_GBK" w:eastAsia="方正仿宋_GBK" w:cs="方正仿宋_GBK"/>
          <w:color w:val="auto"/>
          <w:sz w:val="32"/>
          <w:szCs w:val="32"/>
          <w:shd w:val="clear" w:color="auto" w:fill="FFFFFF"/>
        </w:rPr>
        <w:t>基层治理指挥中心建设项目资金</w:t>
      </w:r>
      <w:r>
        <w:rPr>
          <w:rFonts w:ascii="方正仿宋_GBK" w:hAnsi="方正仿宋_GBK" w:eastAsia="方正仿宋_GBK" w:cs="方正仿宋_GBK"/>
          <w:color w:val="auto"/>
          <w:sz w:val="32"/>
          <w:szCs w:val="32"/>
          <w:shd w:val="clear" w:color="auto" w:fill="FFFFFF"/>
        </w:rPr>
        <w:t>。</w:t>
      </w:r>
    </w:p>
    <w:p>
      <w:pPr>
        <w:pStyle w:val="5"/>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3</w:t>
      </w:r>
      <w:r>
        <w:rPr>
          <w:rFonts w:ascii="方正仿宋_GBK" w:hAnsi="方正仿宋_GBK" w:eastAsia="方正仿宋_GBK" w:cs="方正仿宋_GBK"/>
          <w:sz w:val="32"/>
          <w:szCs w:val="32"/>
          <w:shd w:val="clear" w:color="auto" w:fill="FFFFFF"/>
        </w:rPr>
        <w:t>）文化旅游体育与传媒支出</w:t>
      </w:r>
      <w:r>
        <w:rPr>
          <w:rFonts w:ascii="方正仿宋_GBK" w:hAnsi="方正仿宋_GBK" w:eastAsia="方正仿宋_GBK" w:cs="方正仿宋_GBK"/>
          <w:sz w:val="32"/>
          <w:szCs w:val="32"/>
        </w:rPr>
        <w:t>2.27</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0.07</w:t>
      </w:r>
      <w:r>
        <w:rPr>
          <w:rFonts w:ascii="方正仿宋_GBK" w:hAnsi="方正仿宋_GBK" w:eastAsia="方正仿宋_GBK" w:cs="方正仿宋_GBK"/>
          <w:sz w:val="32"/>
          <w:szCs w:val="32"/>
          <w:shd w:val="clear" w:color="auto" w:fill="FFFFFF"/>
        </w:rPr>
        <w:t>%，较年初预算数增加0.74万元，增长48.4%，主要原因是</w:t>
      </w:r>
      <w:r>
        <w:rPr>
          <w:rFonts w:hint="eastAsia" w:ascii="方正仿宋_GBK" w:hAnsi="方正仿宋_GBK" w:eastAsia="方正仿宋_GBK" w:cs="方正仿宋_GBK"/>
          <w:sz w:val="32"/>
          <w:szCs w:val="32"/>
          <w:shd w:val="clear" w:color="auto" w:fill="FFFFFF"/>
          <w:lang w:eastAsia="zh-CN"/>
        </w:rPr>
        <w:t>本年度年中财政追加免费</w:t>
      </w:r>
      <w:r>
        <w:rPr>
          <w:rFonts w:hint="eastAsia" w:ascii="方正仿宋_GBK" w:hAnsi="方正仿宋_GBK" w:eastAsia="方正仿宋_GBK" w:cs="方正仿宋_GBK"/>
          <w:color w:val="auto"/>
          <w:sz w:val="32"/>
          <w:szCs w:val="32"/>
          <w:shd w:val="clear" w:color="auto" w:fill="FFFFFF"/>
          <w:lang w:eastAsia="zh-CN"/>
        </w:rPr>
        <w:t>开放运行经费资金等</w:t>
      </w:r>
      <w:r>
        <w:rPr>
          <w:rFonts w:ascii="方正仿宋_GBK" w:hAnsi="方正仿宋_GBK" w:eastAsia="方正仿宋_GBK" w:cs="方正仿宋_GBK"/>
          <w:color w:val="auto"/>
          <w:sz w:val="32"/>
          <w:szCs w:val="32"/>
          <w:shd w:val="clear" w:color="auto" w:fill="FFFFFF"/>
        </w:rPr>
        <w:t>。</w:t>
      </w:r>
    </w:p>
    <w:p>
      <w:pPr>
        <w:pStyle w:val="5"/>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）社会保障与就业支出</w:t>
      </w:r>
      <w:r>
        <w:rPr>
          <w:rFonts w:ascii="方正仿宋_GBK" w:hAnsi="方正仿宋_GBK" w:eastAsia="方正仿宋_GBK" w:cs="方正仿宋_GBK"/>
          <w:sz w:val="32"/>
          <w:szCs w:val="32"/>
        </w:rPr>
        <w:t>219.59</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7.16</w:t>
      </w:r>
      <w:r>
        <w:rPr>
          <w:rFonts w:ascii="方正仿宋_GBK" w:hAnsi="方正仿宋_GBK" w:eastAsia="方正仿宋_GBK" w:cs="方正仿宋_GBK"/>
          <w:sz w:val="32"/>
          <w:szCs w:val="32"/>
          <w:shd w:val="clear" w:color="auto" w:fill="FFFFFF"/>
        </w:rPr>
        <w:t>%，较年初预算数增加19.99万元，增长10.0</w:t>
      </w:r>
      <w:r>
        <w:rPr>
          <w:rFonts w:ascii="方正仿宋_GBK" w:hAnsi="方正仿宋_GBK" w:eastAsia="方正仿宋_GBK" w:cs="方正仿宋_GBK"/>
          <w:color w:val="auto"/>
          <w:sz w:val="32"/>
          <w:szCs w:val="32"/>
          <w:shd w:val="clear" w:color="auto" w:fill="FFFFFF"/>
        </w:rPr>
        <w:t>%，主要原因是</w:t>
      </w:r>
      <w:r>
        <w:rPr>
          <w:rFonts w:hint="eastAsia" w:ascii="方正仿宋_GBK" w:hAnsi="方正仿宋_GBK" w:eastAsia="方正仿宋_GBK" w:cs="方正仿宋_GBK"/>
          <w:color w:val="auto"/>
          <w:sz w:val="32"/>
          <w:szCs w:val="32"/>
          <w:shd w:val="clear" w:color="auto" w:fill="FFFFFF"/>
        </w:rPr>
        <w:t>财政追加乡镇街道临时救助、退役军人服务站建设资金等</w:t>
      </w:r>
      <w:r>
        <w:rPr>
          <w:rFonts w:ascii="方正仿宋_GBK" w:hAnsi="方正仿宋_GBK" w:eastAsia="方正仿宋_GBK" w:cs="方正仿宋_GBK"/>
          <w:color w:val="auto"/>
          <w:sz w:val="32"/>
          <w:szCs w:val="32"/>
          <w:shd w:val="clear" w:color="auto" w:fill="FFFFFF"/>
        </w:rPr>
        <w:t>。</w:t>
      </w:r>
    </w:p>
    <w:p>
      <w:pPr>
        <w:pStyle w:val="5"/>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5</w:t>
      </w:r>
      <w:r>
        <w:rPr>
          <w:rFonts w:ascii="方正仿宋_GBK" w:hAnsi="方正仿宋_GBK" w:eastAsia="方正仿宋_GBK" w:cs="方正仿宋_GBK"/>
          <w:sz w:val="32"/>
          <w:szCs w:val="32"/>
          <w:shd w:val="clear" w:color="auto" w:fill="FFFFFF"/>
        </w:rPr>
        <w:t>）卫生健康支出</w:t>
      </w:r>
      <w:r>
        <w:rPr>
          <w:rFonts w:ascii="方正仿宋_GBK" w:hAnsi="方正仿宋_GBK" w:eastAsia="方正仿宋_GBK" w:cs="方正仿宋_GBK"/>
          <w:sz w:val="32"/>
          <w:szCs w:val="32"/>
        </w:rPr>
        <w:t>119.62</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3.90</w:t>
      </w:r>
      <w:r>
        <w:rPr>
          <w:rFonts w:ascii="方正仿宋_GBK" w:hAnsi="方正仿宋_GBK" w:eastAsia="方正仿宋_GBK" w:cs="方正仿宋_GBK"/>
          <w:sz w:val="32"/>
          <w:szCs w:val="32"/>
          <w:shd w:val="clear" w:color="auto" w:fill="FFFFFF"/>
        </w:rPr>
        <w:t>%，较年初预算数增加4.98万元，增长4.3%，主要原因是</w:t>
      </w:r>
      <w:r>
        <w:rPr>
          <w:rFonts w:hint="eastAsia" w:ascii="方正仿宋_GBK" w:hAnsi="方正仿宋_GBK" w:eastAsia="方正仿宋_GBK" w:cs="方正仿宋_GBK"/>
          <w:sz w:val="32"/>
          <w:szCs w:val="32"/>
          <w:shd w:val="clear" w:color="auto" w:fill="FFFFFF"/>
          <w:lang w:eastAsia="zh-CN"/>
        </w:rPr>
        <w:t>财政追加计生手术并</w:t>
      </w:r>
      <w:r>
        <w:rPr>
          <w:rFonts w:hint="eastAsia" w:ascii="方正仿宋_GBK" w:hAnsi="方正仿宋_GBK" w:eastAsia="方正仿宋_GBK" w:cs="方正仿宋_GBK"/>
          <w:color w:val="auto"/>
          <w:sz w:val="32"/>
          <w:szCs w:val="32"/>
          <w:shd w:val="clear" w:color="auto" w:fill="FFFFFF"/>
          <w:lang w:eastAsia="zh-CN"/>
        </w:rPr>
        <w:t>发症产业扶持资金等</w:t>
      </w:r>
      <w:r>
        <w:rPr>
          <w:rFonts w:ascii="方正仿宋_GBK" w:hAnsi="方正仿宋_GBK" w:eastAsia="方正仿宋_GBK" w:cs="方正仿宋_GBK"/>
          <w:color w:val="auto"/>
          <w:sz w:val="32"/>
          <w:szCs w:val="32"/>
          <w:shd w:val="clear" w:color="auto" w:fill="FFFFFF"/>
        </w:rPr>
        <w:t>。</w:t>
      </w:r>
    </w:p>
    <w:p>
      <w:pPr>
        <w:pStyle w:val="5"/>
        <w:snapToGrid w:val="0"/>
        <w:spacing w:before="0" w:beforeAutospacing="0" w:after="0" w:afterAutospacing="0" w:line="600" w:lineRule="exact"/>
        <w:ind w:firstLine="640" w:firstLineChars="200"/>
        <w:jc w:val="both"/>
        <w:rPr>
          <w:rFonts w:hint="default" w:ascii="方正仿宋_GBK" w:hAnsi="方正仿宋_GBK" w:eastAsia="方正仿宋_GBK" w:cs="方正仿宋_GBK"/>
          <w:color w:val="auto"/>
          <w:sz w:val="32"/>
          <w:szCs w:val="32"/>
        </w:rPr>
      </w:pPr>
      <w:r>
        <w:rPr>
          <w:rFonts w:ascii="方正仿宋_GBK" w:hAnsi="方正仿宋_GBK" w:eastAsia="方正仿宋_GBK" w:cs="方正仿宋_GBK"/>
          <w:color w:val="auto"/>
          <w:sz w:val="32"/>
          <w:szCs w:val="32"/>
          <w:shd w:val="clear" w:color="auto" w:fill="FFFFFF"/>
        </w:rPr>
        <w:t>（</w:t>
      </w:r>
      <w:r>
        <w:rPr>
          <w:rFonts w:hint="eastAsia" w:ascii="方正仿宋_GBK" w:hAnsi="方正仿宋_GBK" w:eastAsia="方正仿宋_GBK" w:cs="方正仿宋_GBK"/>
          <w:color w:val="auto"/>
          <w:sz w:val="32"/>
          <w:szCs w:val="32"/>
          <w:shd w:val="clear" w:color="auto" w:fill="FFFFFF"/>
          <w:lang w:val="en-US" w:eastAsia="zh-CN"/>
        </w:rPr>
        <w:t>6</w:t>
      </w:r>
      <w:r>
        <w:rPr>
          <w:rFonts w:ascii="方正仿宋_GBK" w:hAnsi="方正仿宋_GBK" w:eastAsia="方正仿宋_GBK" w:cs="方正仿宋_GBK"/>
          <w:color w:val="auto"/>
          <w:sz w:val="32"/>
          <w:szCs w:val="32"/>
          <w:shd w:val="clear" w:color="auto" w:fill="FFFFFF"/>
        </w:rPr>
        <w:t>）节能环保支出</w:t>
      </w:r>
      <w:r>
        <w:rPr>
          <w:rFonts w:ascii="方正仿宋_GBK" w:hAnsi="方正仿宋_GBK" w:eastAsia="方正仿宋_GBK" w:cs="方正仿宋_GBK"/>
          <w:color w:val="auto"/>
          <w:sz w:val="32"/>
          <w:szCs w:val="32"/>
        </w:rPr>
        <w:t>36.53</w:t>
      </w:r>
      <w:r>
        <w:rPr>
          <w:rFonts w:ascii="方正仿宋_GBK" w:hAnsi="方正仿宋_GBK" w:eastAsia="方正仿宋_GBK" w:cs="方正仿宋_GBK"/>
          <w:color w:val="auto"/>
          <w:sz w:val="32"/>
          <w:szCs w:val="32"/>
          <w:shd w:val="clear" w:color="auto" w:fill="FFFFFF"/>
        </w:rPr>
        <w:t>万元，占</w:t>
      </w:r>
      <w:r>
        <w:rPr>
          <w:rFonts w:ascii="方正仿宋_GBK" w:hAnsi="方正仿宋_GBK" w:eastAsia="方正仿宋_GBK" w:cs="方正仿宋_GBK"/>
          <w:color w:val="auto"/>
          <w:sz w:val="32"/>
          <w:szCs w:val="32"/>
        </w:rPr>
        <w:t>1.19</w:t>
      </w:r>
      <w:r>
        <w:rPr>
          <w:rFonts w:ascii="方正仿宋_GBK" w:hAnsi="方正仿宋_GBK" w:eastAsia="方正仿宋_GBK" w:cs="方正仿宋_GBK"/>
          <w:color w:val="auto"/>
          <w:sz w:val="32"/>
          <w:szCs w:val="32"/>
          <w:shd w:val="clear" w:color="auto" w:fill="FFFFFF"/>
        </w:rPr>
        <w:t>%，较年初预算数增加0.94万元，增长2.6%，主要原因是</w:t>
      </w:r>
      <w:r>
        <w:rPr>
          <w:rFonts w:hint="eastAsia" w:ascii="方正仿宋_GBK" w:hAnsi="方正仿宋_GBK" w:eastAsia="方正仿宋_GBK" w:cs="方正仿宋_GBK"/>
          <w:color w:val="auto"/>
          <w:sz w:val="32"/>
          <w:szCs w:val="32"/>
          <w:shd w:val="clear" w:color="auto" w:fill="FFFFFF"/>
        </w:rPr>
        <w:t>财政追加</w:t>
      </w:r>
      <w:r>
        <w:rPr>
          <w:rFonts w:hint="eastAsia" w:ascii="方正仿宋_GBK" w:hAnsi="方正仿宋_GBK" w:eastAsia="方正仿宋_GBK" w:cs="方正仿宋_GBK"/>
          <w:color w:val="auto"/>
          <w:sz w:val="32"/>
          <w:szCs w:val="32"/>
          <w:shd w:val="clear" w:color="auto" w:fill="FFFFFF"/>
          <w:lang w:eastAsia="zh-CN"/>
        </w:rPr>
        <w:t>大气污染防治工作经费资金等</w:t>
      </w:r>
      <w:r>
        <w:rPr>
          <w:rFonts w:ascii="方正仿宋_GBK" w:hAnsi="方正仿宋_GBK" w:eastAsia="方正仿宋_GBK" w:cs="方正仿宋_GBK"/>
          <w:color w:val="auto"/>
          <w:sz w:val="32"/>
          <w:szCs w:val="32"/>
          <w:shd w:val="clear" w:color="auto" w:fill="FFFFFF"/>
        </w:rPr>
        <w:t>。</w:t>
      </w:r>
    </w:p>
    <w:p>
      <w:pPr>
        <w:pStyle w:val="5"/>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7</w:t>
      </w:r>
      <w:r>
        <w:rPr>
          <w:rFonts w:ascii="方正仿宋_GBK" w:hAnsi="方正仿宋_GBK" w:eastAsia="方正仿宋_GBK" w:cs="方正仿宋_GBK"/>
          <w:sz w:val="32"/>
          <w:szCs w:val="32"/>
          <w:shd w:val="clear" w:color="auto" w:fill="FFFFFF"/>
        </w:rPr>
        <w:t>）城乡社区支出</w:t>
      </w:r>
      <w:r>
        <w:rPr>
          <w:rFonts w:ascii="方正仿宋_GBK" w:hAnsi="方正仿宋_GBK" w:eastAsia="方正仿宋_GBK" w:cs="方正仿宋_GBK"/>
          <w:sz w:val="32"/>
          <w:szCs w:val="32"/>
        </w:rPr>
        <w:t>451.00</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14.71</w:t>
      </w:r>
      <w:r>
        <w:rPr>
          <w:rFonts w:ascii="方正仿宋_GBK" w:hAnsi="方正仿宋_GBK" w:eastAsia="方正仿宋_GBK" w:cs="方正仿宋_GBK"/>
          <w:sz w:val="32"/>
          <w:szCs w:val="32"/>
          <w:shd w:val="clear" w:color="auto" w:fill="FFFFFF"/>
        </w:rPr>
        <w:t>%，较年初预算数无</w:t>
      </w:r>
      <w:r>
        <w:rPr>
          <w:rFonts w:ascii="方正仿宋_GBK" w:hAnsi="方正仿宋_GBK" w:eastAsia="方正仿宋_GBK" w:cs="方正仿宋_GBK"/>
          <w:color w:val="auto"/>
          <w:sz w:val="32"/>
          <w:szCs w:val="32"/>
          <w:shd w:val="clear" w:color="auto" w:fill="FFFFFF"/>
        </w:rPr>
        <w:t>增减。</w:t>
      </w:r>
    </w:p>
    <w:p>
      <w:pPr>
        <w:pStyle w:val="5"/>
        <w:snapToGrid w:val="0"/>
        <w:spacing w:before="0" w:beforeAutospacing="0" w:after="0" w:afterAutospacing="0" w:line="600" w:lineRule="exact"/>
        <w:ind w:firstLine="640" w:firstLineChars="200"/>
        <w:jc w:val="both"/>
        <w:rPr>
          <w:rFonts w:hint="eastAsia" w:ascii="方正仿宋_GBK" w:hAnsi="方正仿宋_GBK" w:eastAsia="方正仿宋_GBK" w:cs="方正仿宋_GBK"/>
          <w:color w:val="FF0000"/>
          <w:sz w:val="32"/>
          <w:szCs w:val="32"/>
          <w:shd w:val="clear" w:color="auto" w:fill="FFFFFF"/>
          <w:lang w:eastAsia="zh-CN"/>
        </w:rPr>
      </w:pP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8</w:t>
      </w:r>
      <w:r>
        <w:rPr>
          <w:rFonts w:ascii="方正仿宋_GBK" w:hAnsi="方正仿宋_GBK" w:eastAsia="方正仿宋_GBK" w:cs="方正仿宋_GBK"/>
          <w:sz w:val="32"/>
          <w:szCs w:val="32"/>
          <w:shd w:val="clear" w:color="auto" w:fill="FFFFFF"/>
        </w:rPr>
        <w:t>）农林水支出</w:t>
      </w:r>
      <w:r>
        <w:rPr>
          <w:rFonts w:ascii="方正仿宋_GBK" w:hAnsi="方正仿宋_GBK" w:eastAsia="方正仿宋_GBK" w:cs="方正仿宋_GBK"/>
          <w:sz w:val="32"/>
          <w:szCs w:val="32"/>
        </w:rPr>
        <w:t>852.53</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27.80</w:t>
      </w:r>
      <w:r>
        <w:rPr>
          <w:rFonts w:ascii="方正仿宋_GBK" w:hAnsi="方正仿宋_GBK" w:eastAsia="方正仿宋_GBK" w:cs="方正仿宋_GBK"/>
          <w:sz w:val="32"/>
          <w:szCs w:val="32"/>
          <w:shd w:val="clear" w:color="auto" w:fill="FFFFFF"/>
        </w:rPr>
        <w:t>%，较年初预</w:t>
      </w:r>
      <w:r>
        <w:rPr>
          <w:rFonts w:ascii="方正仿宋_GBK" w:hAnsi="方正仿宋_GBK" w:eastAsia="方正仿宋_GBK" w:cs="方正仿宋_GBK"/>
          <w:color w:val="auto"/>
          <w:sz w:val="32"/>
          <w:szCs w:val="32"/>
          <w:shd w:val="clear" w:color="auto" w:fill="FFFFFF"/>
        </w:rPr>
        <w:t>算数增加468.98万元，增长122.3%，主要原因是</w:t>
      </w:r>
      <w:r>
        <w:rPr>
          <w:rFonts w:hint="eastAsia" w:ascii="方正仿宋_GBK" w:hAnsi="方正仿宋_GBK" w:eastAsia="方正仿宋_GBK" w:cs="方正仿宋_GBK"/>
          <w:color w:val="auto"/>
          <w:sz w:val="32"/>
          <w:szCs w:val="32"/>
          <w:shd w:val="clear" w:color="auto" w:fill="FFFFFF"/>
          <w:lang w:eastAsia="zh-CN"/>
        </w:rPr>
        <w:t>财政追加</w:t>
      </w:r>
      <w:r>
        <w:rPr>
          <w:rFonts w:hint="eastAsia" w:ascii="方正仿宋_GBK" w:hAnsi="方正仿宋_GBK" w:eastAsia="方正仿宋_GBK" w:cs="方正仿宋_GBK"/>
          <w:color w:val="auto"/>
          <w:sz w:val="32"/>
          <w:szCs w:val="32"/>
          <w:shd w:val="clear" w:color="auto" w:fill="FFFFFF"/>
        </w:rPr>
        <w:t>城周森林屏障及通道绿化土地</w:t>
      </w:r>
      <w:r>
        <w:rPr>
          <w:rFonts w:hint="eastAsia" w:ascii="方正仿宋_GBK" w:hAnsi="方正仿宋_GBK" w:eastAsia="方正仿宋_GBK" w:cs="方正仿宋_GBK"/>
          <w:color w:val="auto"/>
          <w:sz w:val="32"/>
          <w:szCs w:val="32"/>
          <w:shd w:val="clear" w:color="auto" w:fill="FFFFFF"/>
          <w:lang w:eastAsia="zh-CN"/>
        </w:rPr>
        <w:t>租金补助、耕地恢复整治等资金。</w:t>
      </w:r>
    </w:p>
    <w:p>
      <w:pPr>
        <w:pStyle w:val="5"/>
        <w:snapToGrid w:val="0"/>
        <w:spacing w:before="0" w:beforeAutospacing="0" w:after="0" w:afterAutospacing="0" w:line="600" w:lineRule="exact"/>
        <w:ind w:firstLine="640" w:firstLineChars="200"/>
        <w:jc w:val="both"/>
        <w:rPr>
          <w:rFonts w:hint="default" w:ascii="方正仿宋_GBK" w:hAnsi="方正仿宋_GBK" w:eastAsia="方正仿宋_GBK" w:cs="方正仿宋_GBK"/>
          <w:color w:val="auto"/>
          <w:sz w:val="32"/>
          <w:szCs w:val="32"/>
        </w:rPr>
      </w:pPr>
      <w:r>
        <w:rPr>
          <w:rFonts w:ascii="方正仿宋_GBK" w:hAnsi="方正仿宋_GBK" w:eastAsia="方正仿宋_GBK" w:cs="方正仿宋_GBK"/>
          <w:color w:val="auto"/>
          <w:sz w:val="32"/>
          <w:szCs w:val="32"/>
          <w:shd w:val="clear" w:color="auto" w:fill="FFFFFF"/>
        </w:rPr>
        <w:t>（</w:t>
      </w:r>
      <w:r>
        <w:rPr>
          <w:rFonts w:hint="eastAsia" w:ascii="方正仿宋_GBK" w:hAnsi="方正仿宋_GBK" w:eastAsia="方正仿宋_GBK" w:cs="方正仿宋_GBK"/>
          <w:color w:val="auto"/>
          <w:sz w:val="32"/>
          <w:szCs w:val="32"/>
          <w:shd w:val="clear" w:color="auto" w:fill="FFFFFF"/>
          <w:lang w:val="en-US" w:eastAsia="zh-CN"/>
        </w:rPr>
        <w:t>9</w:t>
      </w:r>
      <w:r>
        <w:rPr>
          <w:rFonts w:ascii="方正仿宋_GBK" w:hAnsi="方正仿宋_GBK" w:eastAsia="方正仿宋_GBK" w:cs="方正仿宋_GBK"/>
          <w:color w:val="auto"/>
          <w:sz w:val="32"/>
          <w:szCs w:val="32"/>
          <w:shd w:val="clear" w:color="auto" w:fill="FFFFFF"/>
        </w:rPr>
        <w:t>）交通运输支出</w:t>
      </w:r>
      <w:r>
        <w:rPr>
          <w:rFonts w:ascii="方正仿宋_GBK" w:hAnsi="方正仿宋_GBK" w:eastAsia="方正仿宋_GBK" w:cs="方正仿宋_GBK"/>
          <w:color w:val="auto"/>
          <w:sz w:val="32"/>
          <w:szCs w:val="32"/>
        </w:rPr>
        <w:t>30.00</w:t>
      </w:r>
      <w:r>
        <w:rPr>
          <w:rFonts w:ascii="方正仿宋_GBK" w:hAnsi="方正仿宋_GBK" w:eastAsia="方正仿宋_GBK" w:cs="方正仿宋_GBK"/>
          <w:color w:val="auto"/>
          <w:sz w:val="32"/>
          <w:szCs w:val="32"/>
          <w:shd w:val="clear" w:color="auto" w:fill="FFFFFF"/>
        </w:rPr>
        <w:t>万元，占</w:t>
      </w:r>
      <w:r>
        <w:rPr>
          <w:rFonts w:ascii="方正仿宋_GBK" w:hAnsi="方正仿宋_GBK" w:eastAsia="方正仿宋_GBK" w:cs="方正仿宋_GBK"/>
          <w:color w:val="auto"/>
          <w:sz w:val="32"/>
          <w:szCs w:val="32"/>
        </w:rPr>
        <w:t>0.98</w:t>
      </w:r>
      <w:r>
        <w:rPr>
          <w:rFonts w:ascii="方正仿宋_GBK" w:hAnsi="方正仿宋_GBK" w:eastAsia="方正仿宋_GBK" w:cs="方正仿宋_GBK"/>
          <w:color w:val="auto"/>
          <w:sz w:val="32"/>
          <w:szCs w:val="32"/>
          <w:shd w:val="clear" w:color="auto" w:fill="FFFFFF"/>
        </w:rPr>
        <w:t>%，较年初预算数增加28.90万元，增长2627.3%，主要原因是</w:t>
      </w:r>
      <w:r>
        <w:rPr>
          <w:rFonts w:hint="eastAsia" w:ascii="方正仿宋_GBK" w:hAnsi="方正仿宋_GBK" w:eastAsia="方正仿宋_GBK" w:cs="方正仿宋_GBK"/>
          <w:color w:val="auto"/>
          <w:sz w:val="32"/>
          <w:szCs w:val="32"/>
          <w:shd w:val="clear" w:color="auto" w:fill="FFFFFF"/>
        </w:rPr>
        <w:t>财政追加提前下达202</w:t>
      </w:r>
      <w:r>
        <w:rPr>
          <w:rFonts w:hint="eastAsia" w:ascii="方正仿宋_GBK" w:hAnsi="方正仿宋_GBK" w:eastAsia="方正仿宋_GBK" w:cs="方正仿宋_GBK"/>
          <w:color w:val="auto"/>
          <w:sz w:val="32"/>
          <w:szCs w:val="32"/>
          <w:shd w:val="clear" w:color="auto" w:fill="FFFFFF"/>
          <w:lang w:val="en-US" w:eastAsia="zh-CN"/>
        </w:rPr>
        <w:t>4</w:t>
      </w:r>
      <w:r>
        <w:rPr>
          <w:rFonts w:hint="eastAsia" w:ascii="方正仿宋_GBK" w:hAnsi="方正仿宋_GBK" w:eastAsia="方正仿宋_GBK" w:cs="方正仿宋_GBK"/>
          <w:color w:val="auto"/>
          <w:sz w:val="32"/>
          <w:szCs w:val="32"/>
          <w:shd w:val="clear" w:color="auto" w:fill="FFFFFF"/>
        </w:rPr>
        <w:t>年车辆购置税收入补助地方资金</w:t>
      </w:r>
      <w:r>
        <w:rPr>
          <w:rFonts w:ascii="方正仿宋_GBK" w:hAnsi="方正仿宋_GBK" w:eastAsia="方正仿宋_GBK" w:cs="方正仿宋_GBK"/>
          <w:color w:val="auto"/>
          <w:sz w:val="32"/>
          <w:szCs w:val="32"/>
          <w:shd w:val="clear" w:color="auto" w:fill="FFFFFF"/>
        </w:rPr>
        <w:t>。</w:t>
      </w:r>
    </w:p>
    <w:p>
      <w:pPr>
        <w:pStyle w:val="5"/>
        <w:snapToGrid w:val="0"/>
        <w:spacing w:before="0" w:beforeAutospacing="0" w:after="0" w:afterAutospacing="0" w:line="600" w:lineRule="exact"/>
        <w:ind w:firstLine="640" w:firstLineChars="200"/>
        <w:jc w:val="both"/>
        <w:rPr>
          <w:rFonts w:hint="eastAsia" w:ascii="方正仿宋_GBK" w:hAnsi="方正仿宋_GBK" w:eastAsia="方正仿宋_GBK" w:cs="方正仿宋_GBK"/>
          <w:color w:val="FF0000"/>
          <w:sz w:val="32"/>
          <w:szCs w:val="32"/>
          <w:shd w:val="clear" w:color="auto" w:fill="FFFFFF"/>
          <w:lang w:eastAsia="zh-CN"/>
        </w:rPr>
      </w:pP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10</w:t>
      </w:r>
      <w:r>
        <w:rPr>
          <w:rFonts w:ascii="方正仿宋_GBK" w:hAnsi="方正仿宋_GBK" w:eastAsia="方正仿宋_GBK" w:cs="方正仿宋_GBK"/>
          <w:sz w:val="32"/>
          <w:szCs w:val="32"/>
          <w:shd w:val="clear" w:color="auto" w:fill="FFFFFF"/>
        </w:rPr>
        <w:t>）资源勘探信息等支出</w:t>
      </w:r>
      <w:r>
        <w:rPr>
          <w:rFonts w:ascii="方正仿宋_GBK" w:hAnsi="方正仿宋_GBK" w:eastAsia="方正仿宋_GBK" w:cs="方正仿宋_GBK"/>
          <w:sz w:val="32"/>
          <w:szCs w:val="32"/>
        </w:rPr>
        <w:t>5.00</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0.16</w:t>
      </w:r>
      <w:r>
        <w:rPr>
          <w:rFonts w:ascii="方正仿宋_GBK" w:hAnsi="方正仿宋_GBK" w:eastAsia="方正仿宋_GBK" w:cs="方正仿宋_GBK"/>
          <w:sz w:val="32"/>
          <w:szCs w:val="32"/>
          <w:shd w:val="clear" w:color="auto" w:fill="FFFFFF"/>
        </w:rPr>
        <w:t>%，较年</w:t>
      </w:r>
      <w:r>
        <w:rPr>
          <w:rFonts w:ascii="方正仿宋_GBK" w:hAnsi="方正仿宋_GBK" w:eastAsia="方正仿宋_GBK" w:cs="方正仿宋_GBK"/>
          <w:color w:val="auto"/>
          <w:sz w:val="32"/>
          <w:szCs w:val="32"/>
          <w:shd w:val="clear" w:color="auto" w:fill="FFFFFF"/>
        </w:rPr>
        <w:t>初预算数增加5.00万元，增长100.0%，主要原因是</w:t>
      </w:r>
      <w:r>
        <w:rPr>
          <w:rFonts w:hint="eastAsia" w:ascii="方正仿宋_GBK" w:hAnsi="方正仿宋_GBK" w:eastAsia="方正仿宋_GBK" w:cs="方正仿宋_GBK"/>
          <w:color w:val="auto"/>
          <w:sz w:val="32"/>
          <w:szCs w:val="32"/>
          <w:shd w:val="clear" w:color="auto" w:fill="FFFFFF"/>
        </w:rPr>
        <w:t>财政追加市场主体培育奖励扶持政策资金</w:t>
      </w:r>
      <w:r>
        <w:rPr>
          <w:rFonts w:hint="eastAsia" w:ascii="方正仿宋_GBK" w:hAnsi="方正仿宋_GBK" w:eastAsia="方正仿宋_GBK" w:cs="方正仿宋_GBK"/>
          <w:color w:val="auto"/>
          <w:sz w:val="32"/>
          <w:szCs w:val="32"/>
          <w:shd w:val="clear" w:color="auto" w:fill="FFFFFF"/>
          <w:lang w:eastAsia="zh-CN"/>
        </w:rPr>
        <w:t>。</w:t>
      </w:r>
    </w:p>
    <w:p>
      <w:pPr>
        <w:pStyle w:val="5"/>
        <w:shd w:val="clear" w:color="auto" w:fill="FFFFFF"/>
        <w:ind w:firstLine="640" w:firstLineChars="200"/>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11</w:t>
      </w:r>
      <w:r>
        <w:rPr>
          <w:rFonts w:ascii="方正仿宋_GBK" w:hAnsi="方正仿宋_GBK" w:eastAsia="方正仿宋_GBK" w:cs="方正仿宋_GBK"/>
          <w:sz w:val="32"/>
          <w:szCs w:val="32"/>
          <w:shd w:val="clear" w:color="auto" w:fill="FFFFFF"/>
        </w:rPr>
        <w:t>）</w:t>
      </w:r>
      <w:r>
        <w:rPr>
          <w:rFonts w:ascii="方正仿宋_GBK" w:hAnsi="方正仿宋_GBK" w:eastAsia="方正仿宋_GBK" w:cs="方正仿宋_GBK"/>
          <w:sz w:val="32"/>
          <w:szCs w:val="32"/>
        </w:rPr>
        <w:t>自然资源海洋气象等支出3.06</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0.10</w:t>
      </w:r>
      <w:r>
        <w:rPr>
          <w:rFonts w:ascii="方正仿宋_GBK" w:hAnsi="方正仿宋_GBK" w:eastAsia="方正仿宋_GBK" w:cs="方正仿宋_GBK"/>
          <w:sz w:val="32"/>
          <w:szCs w:val="32"/>
          <w:shd w:val="clear" w:color="auto" w:fill="FFFFFF"/>
        </w:rPr>
        <w:t>%，</w:t>
      </w:r>
      <w:r>
        <w:rPr>
          <w:rFonts w:ascii="方正仿宋_GBK" w:hAnsi="方正仿宋_GBK" w:eastAsia="方正仿宋_GBK" w:cs="方正仿宋_GBK"/>
          <w:color w:val="auto"/>
          <w:sz w:val="32"/>
          <w:szCs w:val="32"/>
          <w:shd w:val="clear" w:color="auto" w:fill="FFFFFF"/>
        </w:rPr>
        <w:t>较年初预算数增加3.06万元，增长100.0%，主要原因是</w:t>
      </w:r>
      <w:r>
        <w:rPr>
          <w:rFonts w:hint="eastAsia" w:ascii="方正仿宋_GBK" w:hAnsi="方正仿宋_GBK" w:eastAsia="方正仿宋_GBK" w:cs="方正仿宋_GBK"/>
          <w:color w:val="auto"/>
          <w:sz w:val="32"/>
          <w:szCs w:val="32"/>
          <w:shd w:val="clear" w:color="auto" w:fill="FFFFFF"/>
          <w:lang w:eastAsia="zh-CN"/>
        </w:rPr>
        <w:t>财政追加耕地恢复补足等资金</w:t>
      </w:r>
      <w:r>
        <w:rPr>
          <w:rFonts w:ascii="方正仿宋_GBK" w:hAnsi="方正仿宋_GBK" w:eastAsia="方正仿宋_GBK" w:cs="方正仿宋_GBK"/>
          <w:color w:val="auto"/>
          <w:sz w:val="32"/>
          <w:szCs w:val="32"/>
          <w:shd w:val="clear" w:color="auto" w:fill="FFFFFF"/>
        </w:rPr>
        <w:t>。</w:t>
      </w:r>
    </w:p>
    <w:p>
      <w:pPr>
        <w:ind w:firstLine="640" w:firstLineChars="200"/>
        <w:rPr>
          <w:rFonts w:hint="default" w:ascii="方正仿宋_GBK" w:hAnsi="方正仿宋_GBK" w:eastAsia="方正仿宋_GBK" w:cs="方正仿宋_GBK"/>
          <w:color w:val="auto"/>
          <w:sz w:val="32"/>
          <w:szCs w:val="32"/>
          <w:shd w:val="clear" w:color="auto" w:fill="FFFFFF"/>
        </w:rPr>
      </w:pPr>
      <w:r>
        <w:rPr>
          <w:rFonts w:ascii="方正仿宋_GBK" w:hAnsi="方正仿宋_GBK" w:eastAsia="方正仿宋_GBK" w:cs="方正仿宋_GBK"/>
          <w:color w:val="auto"/>
          <w:sz w:val="32"/>
          <w:szCs w:val="32"/>
          <w:shd w:val="clear" w:color="auto" w:fill="FFFFFF"/>
        </w:rPr>
        <w:t>（1</w:t>
      </w:r>
      <w:r>
        <w:rPr>
          <w:rFonts w:hint="eastAsia" w:ascii="方正仿宋_GBK" w:hAnsi="方正仿宋_GBK" w:eastAsia="方正仿宋_GBK" w:cs="方正仿宋_GBK"/>
          <w:color w:val="auto"/>
          <w:sz w:val="32"/>
          <w:szCs w:val="32"/>
          <w:shd w:val="clear" w:color="auto" w:fill="FFFFFF"/>
          <w:lang w:val="en-US" w:eastAsia="zh-CN"/>
        </w:rPr>
        <w:t>2</w:t>
      </w:r>
      <w:r>
        <w:rPr>
          <w:rFonts w:ascii="方正仿宋_GBK" w:hAnsi="方正仿宋_GBK" w:eastAsia="方正仿宋_GBK" w:cs="方正仿宋_GBK"/>
          <w:color w:val="auto"/>
          <w:sz w:val="32"/>
          <w:szCs w:val="32"/>
          <w:shd w:val="clear" w:color="auto" w:fill="FFFFFF"/>
        </w:rPr>
        <w:t>）</w:t>
      </w:r>
      <w:r>
        <w:rPr>
          <w:rFonts w:ascii="方正仿宋_GBK" w:hAnsi="方正仿宋_GBK" w:eastAsia="方正仿宋_GBK" w:cs="方正仿宋_GBK"/>
          <w:color w:val="auto"/>
          <w:sz w:val="32"/>
          <w:szCs w:val="32"/>
        </w:rPr>
        <w:t>住房保障支出70.45</w:t>
      </w:r>
      <w:r>
        <w:rPr>
          <w:rFonts w:ascii="方正仿宋_GBK" w:hAnsi="方正仿宋_GBK" w:eastAsia="方正仿宋_GBK" w:cs="方正仿宋_GBK"/>
          <w:color w:val="auto"/>
          <w:sz w:val="32"/>
          <w:szCs w:val="32"/>
          <w:shd w:val="clear" w:color="auto" w:fill="FFFFFF"/>
        </w:rPr>
        <w:t>万元，占</w:t>
      </w:r>
      <w:r>
        <w:rPr>
          <w:rFonts w:ascii="方正仿宋_GBK" w:hAnsi="方正仿宋_GBK" w:eastAsia="方正仿宋_GBK" w:cs="方正仿宋_GBK"/>
          <w:color w:val="auto"/>
          <w:sz w:val="32"/>
          <w:szCs w:val="32"/>
        </w:rPr>
        <w:t>2.30</w:t>
      </w:r>
      <w:r>
        <w:rPr>
          <w:rFonts w:ascii="方正仿宋_GBK" w:hAnsi="方正仿宋_GBK" w:eastAsia="方正仿宋_GBK" w:cs="方正仿宋_GBK"/>
          <w:color w:val="auto"/>
          <w:sz w:val="32"/>
          <w:szCs w:val="32"/>
          <w:shd w:val="clear" w:color="auto" w:fill="FFFFFF"/>
        </w:rPr>
        <w:t>%，较年初预算数减少4.68万元，下降6.2%，主要原因是</w:t>
      </w:r>
      <w:r>
        <w:rPr>
          <w:rFonts w:hint="eastAsia" w:ascii="方正仿宋_GBK" w:hAnsi="方正仿宋_GBK" w:eastAsia="方正仿宋_GBK" w:cs="方正仿宋_GBK"/>
          <w:color w:val="auto"/>
          <w:sz w:val="32"/>
          <w:szCs w:val="32"/>
          <w:shd w:val="clear" w:color="auto" w:fill="FFFFFF"/>
        </w:rPr>
        <w:t>行政人员</w:t>
      </w:r>
      <w:r>
        <w:rPr>
          <w:rFonts w:hint="eastAsia" w:ascii="方正仿宋_GBK" w:hAnsi="方正仿宋_GBK" w:eastAsia="方正仿宋_GBK" w:cs="方正仿宋_GBK"/>
          <w:color w:val="auto"/>
          <w:sz w:val="32"/>
          <w:szCs w:val="32"/>
          <w:shd w:val="clear" w:color="auto" w:fill="FFFFFF"/>
          <w:lang w:val="en-US" w:eastAsia="zh-CN"/>
        </w:rPr>
        <w:t>2023年</w:t>
      </w:r>
      <w:r>
        <w:rPr>
          <w:rFonts w:hint="eastAsia" w:ascii="方正仿宋_GBK" w:hAnsi="方正仿宋_GBK" w:eastAsia="方正仿宋_GBK" w:cs="方正仿宋_GBK"/>
          <w:color w:val="auto"/>
          <w:sz w:val="32"/>
          <w:szCs w:val="32"/>
          <w:shd w:val="clear" w:color="auto" w:fill="FFFFFF"/>
          <w:lang w:eastAsia="zh-CN"/>
        </w:rPr>
        <w:t>政策衔接</w:t>
      </w:r>
      <w:r>
        <w:rPr>
          <w:rFonts w:hint="eastAsia" w:ascii="方正仿宋_GBK" w:hAnsi="方正仿宋_GBK" w:eastAsia="方正仿宋_GBK" w:cs="方正仿宋_GBK"/>
          <w:color w:val="auto"/>
          <w:sz w:val="32"/>
          <w:szCs w:val="32"/>
          <w:shd w:val="clear" w:color="auto" w:fill="FFFFFF"/>
        </w:rPr>
        <w:t>公积金清算</w:t>
      </w:r>
      <w:r>
        <w:rPr>
          <w:rFonts w:ascii="方正仿宋_GBK" w:hAnsi="方正仿宋_GBK" w:eastAsia="方正仿宋_GBK" w:cs="方正仿宋_GBK"/>
          <w:color w:val="auto"/>
          <w:sz w:val="32"/>
          <w:szCs w:val="32"/>
          <w:shd w:val="clear" w:color="auto" w:fill="FFFFFF"/>
        </w:rPr>
        <w:t>。</w:t>
      </w:r>
    </w:p>
    <w:p>
      <w:pPr>
        <w:ind w:firstLine="640" w:firstLineChars="200"/>
        <w:rPr>
          <w:rFonts w:hint="eastAsia" w:ascii="方正仿宋_GBK" w:hAnsi="方正仿宋_GBK" w:eastAsia="方正仿宋_GBK" w:cs="方正仿宋_GBK"/>
          <w:color w:val="FF0000"/>
          <w:sz w:val="32"/>
          <w:szCs w:val="32"/>
          <w:shd w:val="clear" w:color="auto" w:fill="FFFFFF"/>
          <w:lang w:val="en-US" w:eastAsia="zh-CN"/>
        </w:rPr>
      </w:pP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13</w:t>
      </w:r>
      <w:r>
        <w:rPr>
          <w:rFonts w:ascii="方正仿宋_GBK" w:hAnsi="方正仿宋_GBK" w:eastAsia="方正仿宋_GBK" w:cs="方正仿宋_GBK"/>
          <w:sz w:val="32"/>
          <w:szCs w:val="32"/>
          <w:shd w:val="clear" w:color="auto" w:fill="FFFFFF"/>
        </w:rPr>
        <w:t>）</w:t>
      </w:r>
      <w:r>
        <w:rPr>
          <w:rFonts w:ascii="方正仿宋_GBK" w:hAnsi="方正仿宋_GBK" w:eastAsia="方正仿宋_GBK" w:cs="方正仿宋_GBK"/>
          <w:sz w:val="32"/>
          <w:szCs w:val="32"/>
        </w:rPr>
        <w:t>灾害防治及应急管理支出66.43</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2.17</w:t>
      </w:r>
      <w:r>
        <w:rPr>
          <w:rFonts w:ascii="方正仿宋_GBK" w:hAnsi="方正仿宋_GBK" w:eastAsia="方正仿宋_GBK" w:cs="方正仿宋_GBK"/>
          <w:sz w:val="32"/>
          <w:szCs w:val="32"/>
          <w:shd w:val="clear" w:color="auto" w:fill="FFFFFF"/>
        </w:rPr>
        <w:t>%，较年初预算数减少98.37万元，下降59.7%，主要原因是</w:t>
      </w:r>
      <w:r>
        <w:rPr>
          <w:rFonts w:hint="eastAsia" w:ascii="方正仿宋_GBK" w:hAnsi="方正仿宋_GBK" w:eastAsia="方正仿宋_GBK" w:cs="方正仿宋_GBK"/>
          <w:sz w:val="32"/>
          <w:szCs w:val="32"/>
          <w:shd w:val="clear" w:color="auto" w:fill="FFFFFF"/>
          <w:lang w:eastAsia="zh-CN"/>
        </w:rPr>
        <w:t>基层平安法治建设奖补资金科目调剂。</w:t>
      </w:r>
    </w:p>
    <w:p>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（四）一般公共预算财政拨款基本支出决算情况说明</w:t>
      </w:r>
    </w:p>
    <w:p>
      <w:pPr>
        <w:pStyle w:val="5"/>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 </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度一般公共财政拨款基本支出</w:t>
      </w:r>
      <w:r>
        <w:rPr>
          <w:rFonts w:ascii="方正仿宋_GBK" w:hAnsi="方正仿宋_GBK" w:eastAsia="方正仿宋_GBK" w:cs="方正仿宋_GBK"/>
          <w:sz w:val="32"/>
          <w:szCs w:val="32"/>
        </w:rPr>
        <w:t>1081.19</w:t>
      </w:r>
      <w:r>
        <w:rPr>
          <w:rFonts w:ascii="方正仿宋_GBK" w:hAnsi="方正仿宋_GBK" w:eastAsia="方正仿宋_GBK" w:cs="方正仿宋_GBK"/>
          <w:sz w:val="32"/>
          <w:szCs w:val="32"/>
          <w:shd w:val="clear" w:color="auto" w:fill="FFFFFF"/>
        </w:rPr>
        <w:t>万元。其中：人员经费</w:t>
      </w:r>
      <w:r>
        <w:rPr>
          <w:rFonts w:ascii="方正仿宋_GBK" w:hAnsi="方正仿宋_GBK" w:eastAsia="方正仿宋_GBK" w:cs="方正仿宋_GBK"/>
          <w:sz w:val="32"/>
          <w:szCs w:val="32"/>
        </w:rPr>
        <w:t>991.40</w:t>
      </w:r>
      <w:r>
        <w:rPr>
          <w:rFonts w:ascii="方正仿宋_GBK" w:hAnsi="方正仿宋_GBK" w:eastAsia="方正仿宋_GBK" w:cs="方正仿宋_GBK"/>
          <w:sz w:val="32"/>
          <w:szCs w:val="32"/>
          <w:shd w:val="clear" w:color="auto" w:fill="FFFFFF"/>
        </w:rPr>
        <w:t>万元，与2023年度相比，减少76.66</w:t>
      </w:r>
      <w:r>
        <w:rPr>
          <w:rFonts w:ascii="方正仿宋_GBK" w:hAnsi="方正仿宋_GBK" w:eastAsia="方正仿宋_GBK" w:cs="方正仿宋_GBK"/>
          <w:color w:val="auto"/>
          <w:sz w:val="32"/>
          <w:szCs w:val="32"/>
          <w:shd w:val="clear" w:color="auto" w:fill="FFFFFF"/>
        </w:rPr>
        <w:t>万元，下降7.2%，主要原因是</w:t>
      </w:r>
      <w:r>
        <w:rPr>
          <w:rFonts w:hint="eastAsia" w:ascii="方正仿宋_GBK" w:hAnsi="方正仿宋_GBK" w:eastAsia="方正仿宋_GBK" w:cs="方正仿宋_GBK"/>
          <w:color w:val="auto"/>
          <w:sz w:val="32"/>
          <w:szCs w:val="32"/>
          <w:shd w:val="clear" w:color="auto" w:fill="FFFFFF"/>
          <w:lang w:eastAsia="zh-CN"/>
        </w:rPr>
        <w:t>本年度退休</w:t>
      </w:r>
      <w:r>
        <w:rPr>
          <w:rFonts w:hint="eastAsia" w:ascii="方正仿宋_GBK" w:hAnsi="方正仿宋_GBK" w:eastAsia="方正仿宋_GBK" w:cs="方正仿宋_GBK"/>
          <w:color w:val="auto"/>
          <w:sz w:val="32"/>
          <w:szCs w:val="32"/>
          <w:shd w:val="clear" w:color="auto" w:fill="FFFFFF"/>
          <w:lang w:val="en-US" w:eastAsia="zh-CN"/>
        </w:rPr>
        <w:t>4人，人员经费支出减少。</w:t>
      </w:r>
      <w:r>
        <w:rPr>
          <w:rFonts w:ascii="方正仿宋_GBK" w:hAnsi="方正仿宋_GBK" w:eastAsia="方正仿宋_GBK" w:cs="方正仿宋_GBK"/>
          <w:color w:val="auto"/>
          <w:sz w:val="32"/>
          <w:szCs w:val="32"/>
          <w:shd w:val="clear" w:color="auto" w:fill="FFFFFF"/>
        </w:rPr>
        <w:t>人</w:t>
      </w:r>
      <w:r>
        <w:rPr>
          <w:rFonts w:ascii="方正仿宋_GBK" w:hAnsi="方正仿宋_GBK" w:eastAsia="方正仿宋_GBK" w:cs="方正仿宋_GBK"/>
          <w:sz w:val="32"/>
          <w:szCs w:val="32"/>
          <w:shd w:val="clear" w:color="auto" w:fill="FFFFFF"/>
        </w:rPr>
        <w:t>员经费用途主要包括</w:t>
      </w:r>
      <w:r>
        <w:rPr>
          <w:rFonts w:hint="eastAsia" w:ascii="方正仿宋_GBK" w:hAnsi="方正仿宋_GBK" w:eastAsia="方正仿宋_GBK" w:cs="方正仿宋_GBK"/>
          <w:color w:val="auto"/>
          <w:sz w:val="32"/>
          <w:szCs w:val="32"/>
          <w:shd w:val="clear" w:color="auto" w:fill="FFFFFF"/>
        </w:rPr>
        <w:t>基本工资、津贴补贴、奖金、年度考核奖、绩效工资、社会保障缴费、公积金缴费等</w:t>
      </w:r>
      <w:r>
        <w:rPr>
          <w:rFonts w:ascii="方正仿宋_GBK" w:hAnsi="方正仿宋_GBK" w:eastAsia="方正仿宋_GBK" w:cs="方正仿宋_GBK"/>
          <w:color w:val="auto"/>
          <w:sz w:val="32"/>
          <w:szCs w:val="32"/>
          <w:shd w:val="clear" w:color="auto" w:fill="FFFFFF"/>
        </w:rPr>
        <w:t>。</w:t>
      </w:r>
      <w:r>
        <w:rPr>
          <w:rFonts w:ascii="方正仿宋_GBK" w:hAnsi="方正仿宋_GBK" w:eastAsia="方正仿宋_GBK" w:cs="方正仿宋_GBK"/>
          <w:sz w:val="32"/>
          <w:szCs w:val="32"/>
          <w:shd w:val="clear" w:color="auto" w:fill="FFFFFF"/>
        </w:rPr>
        <w:t>公用经费</w:t>
      </w:r>
      <w:r>
        <w:rPr>
          <w:rFonts w:ascii="方正仿宋_GBK" w:hAnsi="方正仿宋_GBK" w:eastAsia="方正仿宋_GBK" w:cs="方正仿宋_GBK"/>
          <w:sz w:val="32"/>
          <w:szCs w:val="32"/>
        </w:rPr>
        <w:t>89.79</w:t>
      </w:r>
      <w:r>
        <w:rPr>
          <w:rFonts w:ascii="方正仿宋_GBK" w:hAnsi="方正仿宋_GBK" w:eastAsia="方正仿宋_GBK" w:cs="方正仿宋_GBK"/>
          <w:sz w:val="32"/>
          <w:szCs w:val="32"/>
          <w:shd w:val="clear" w:color="auto" w:fill="FFFFFF"/>
        </w:rPr>
        <w:t>万元，与2023年度相比，减少6.63万元，下降6.9%，</w:t>
      </w:r>
      <w:r>
        <w:rPr>
          <w:rFonts w:hint="eastAsia" w:ascii="方正仿宋_GBK" w:hAnsi="方正仿宋_GBK" w:eastAsia="方正仿宋_GBK" w:cs="方正仿宋_GBK"/>
          <w:sz w:val="32"/>
          <w:szCs w:val="32"/>
          <w:shd w:val="clear" w:color="auto" w:fill="FFFFFF"/>
        </w:rPr>
        <w:t>主要原因是本年度严格落实中央八项规定及市区“三公”经费管理要求，优化支出结构，严格审批程序，大力压缩机关办公开支、水电费等支出，降低运行成本。</w:t>
      </w:r>
      <w:r>
        <w:rPr>
          <w:rFonts w:ascii="方正仿宋_GBK" w:hAnsi="方正仿宋_GBK" w:eastAsia="方正仿宋_GBK" w:cs="方正仿宋_GBK"/>
          <w:sz w:val="32"/>
          <w:szCs w:val="32"/>
          <w:shd w:val="clear" w:color="auto" w:fill="FFFFFF"/>
        </w:rPr>
        <w:t>公用经费</w:t>
      </w:r>
      <w:r>
        <w:rPr>
          <w:rFonts w:ascii="方正仿宋_GBK" w:hAnsi="方正仿宋_GBK" w:eastAsia="方正仿宋_GBK" w:cs="方正仿宋_GBK"/>
          <w:color w:val="auto"/>
          <w:sz w:val="32"/>
          <w:szCs w:val="32"/>
          <w:shd w:val="clear" w:color="auto" w:fill="FFFFFF"/>
        </w:rPr>
        <w:t>用途主要包括</w:t>
      </w:r>
      <w:r>
        <w:rPr>
          <w:rFonts w:hint="eastAsia" w:ascii="方正仿宋_GBK" w:hAnsi="方正仿宋_GBK" w:eastAsia="方正仿宋_GBK" w:cs="方正仿宋_GBK"/>
          <w:color w:val="auto"/>
          <w:sz w:val="32"/>
          <w:szCs w:val="32"/>
          <w:shd w:val="clear" w:color="auto" w:fill="FFFFFF"/>
        </w:rPr>
        <w:t>办公费、印刷费、水电费、邮电费、公务接待费、公务用车运行维护费、劳务费、物业管理费、维修费等。</w:t>
      </w:r>
    </w:p>
    <w:p>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（五）政府性基金预算收支决算情况说明</w:t>
      </w:r>
    </w:p>
    <w:p>
      <w:pPr>
        <w:pStyle w:val="5"/>
        <w:snapToGrid w:val="0"/>
        <w:spacing w:before="0" w:beforeAutospacing="0" w:after="0" w:afterAutospacing="0" w:line="600" w:lineRule="exact"/>
        <w:ind w:firstLine="640" w:firstLineChars="200"/>
        <w:jc w:val="both"/>
        <w:rPr>
          <w:rFonts w:hint="default" w:ascii="方正仿宋_GBK" w:hAnsi="方正仿宋_GBK" w:eastAsia="方正仿宋_GBK" w:cs="方正仿宋_GBK"/>
          <w:color w:val="FF0000"/>
          <w:sz w:val="32"/>
          <w:szCs w:val="32"/>
          <w:shd w:val="clear" w:color="auto" w:fill="FFFFFF"/>
        </w:rPr>
      </w:pP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度政府性基金预算财政拨款年初结转结余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万元，年末结转结余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万元。本年收入</w:t>
      </w:r>
      <w:r>
        <w:rPr>
          <w:rFonts w:ascii="方正仿宋_GBK" w:hAnsi="方正仿宋_GBK" w:eastAsia="方正仿宋_GBK" w:cs="方正仿宋_GBK"/>
          <w:sz w:val="32"/>
          <w:szCs w:val="32"/>
        </w:rPr>
        <w:t>171.66</w:t>
      </w:r>
      <w:r>
        <w:rPr>
          <w:rFonts w:ascii="方正仿宋_GBK" w:hAnsi="方正仿宋_GBK" w:eastAsia="方正仿宋_GBK" w:cs="方正仿宋_GBK"/>
          <w:sz w:val="32"/>
          <w:szCs w:val="32"/>
          <w:shd w:val="clear" w:color="auto" w:fill="FFFFFF"/>
        </w:rPr>
        <w:t>万元，与2023年度相比，增加122.18万元，增长246.9%，主要原因</w:t>
      </w:r>
      <w:r>
        <w:rPr>
          <w:rFonts w:ascii="方正仿宋_GBK" w:hAnsi="方正仿宋_GBK" w:eastAsia="方正仿宋_GBK" w:cs="方正仿宋_GBK"/>
          <w:color w:val="auto"/>
          <w:sz w:val="32"/>
          <w:szCs w:val="32"/>
          <w:shd w:val="clear" w:color="auto" w:fill="FFFFFF"/>
        </w:rPr>
        <w:t>是</w:t>
      </w:r>
      <w:r>
        <w:rPr>
          <w:rFonts w:hint="eastAsia" w:ascii="方正仿宋_GBK" w:hAnsi="方正仿宋_GBK" w:eastAsia="方正仿宋_GBK" w:cs="方正仿宋_GBK"/>
          <w:color w:val="auto"/>
          <w:sz w:val="32"/>
          <w:szCs w:val="32"/>
          <w:shd w:val="clear" w:color="auto" w:fill="FFFFFF"/>
        </w:rPr>
        <w:t>追加农村公路日常养护资金、养老服务体系建设资金、地质灾害综合治理项目资金等。</w:t>
      </w:r>
      <w:r>
        <w:rPr>
          <w:rFonts w:ascii="方正仿宋_GBK" w:hAnsi="方正仿宋_GBK" w:eastAsia="方正仿宋_GBK" w:cs="方正仿宋_GBK"/>
          <w:sz w:val="32"/>
          <w:szCs w:val="32"/>
          <w:shd w:val="clear" w:color="auto" w:fill="FFFFFF"/>
        </w:rPr>
        <w:t>本年支出</w:t>
      </w:r>
      <w:r>
        <w:rPr>
          <w:rFonts w:ascii="方正仿宋_GBK" w:hAnsi="方正仿宋_GBK" w:eastAsia="方正仿宋_GBK" w:cs="方正仿宋_GBK"/>
          <w:sz w:val="32"/>
          <w:szCs w:val="32"/>
        </w:rPr>
        <w:t>171.66</w:t>
      </w:r>
      <w:r>
        <w:rPr>
          <w:rFonts w:ascii="方正仿宋_GBK" w:hAnsi="方正仿宋_GBK" w:eastAsia="方正仿宋_GBK" w:cs="方正仿宋_GBK"/>
          <w:sz w:val="32"/>
          <w:szCs w:val="32"/>
          <w:shd w:val="clear" w:color="auto" w:fill="FFFFFF"/>
        </w:rPr>
        <w:t>万元，与2023年度相比，增加122.18万元，增长246.9%</w:t>
      </w:r>
      <w:r>
        <w:rPr>
          <w:rFonts w:ascii="方正仿宋_GBK" w:hAnsi="方正仿宋_GBK" w:eastAsia="方正仿宋_GBK" w:cs="方正仿宋_GBK"/>
          <w:color w:val="auto"/>
          <w:sz w:val="32"/>
          <w:szCs w:val="32"/>
          <w:shd w:val="clear" w:color="auto" w:fill="FFFFFF"/>
        </w:rPr>
        <w:t>，主要原因是</w:t>
      </w:r>
      <w:r>
        <w:rPr>
          <w:rFonts w:hint="eastAsia" w:ascii="方正仿宋_GBK" w:hAnsi="方正仿宋_GBK" w:eastAsia="方正仿宋_GBK" w:cs="方正仿宋_GBK"/>
          <w:color w:val="auto"/>
          <w:sz w:val="32"/>
          <w:szCs w:val="32"/>
          <w:shd w:val="clear" w:color="auto" w:fill="FFFFFF"/>
        </w:rPr>
        <w:t>追加农村公路日常养护资金、养老服务体系建设资金、地质灾害综合治理项目资金等。</w:t>
      </w:r>
    </w:p>
    <w:p>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（六）国有资本经营预算财政拨款支出决算情况说明</w:t>
      </w:r>
    </w:p>
    <w:p>
      <w:pPr>
        <w:pStyle w:val="5"/>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rPr>
        <w:t> 城东街道办事处</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度无国有资本经营预算财政拨款支出。</w:t>
      </w:r>
    </w:p>
    <w:p>
      <w:pPr>
        <w:pStyle w:val="5"/>
        <w:shd w:val="clear" w:color="auto" w:fill="FFFFFF"/>
        <w:rPr>
          <w:rStyle w:val="9"/>
          <w:rFonts w:hint="eastAsia" w:ascii="黑体" w:hAnsi="黑体" w:eastAsia="黑体" w:cs="黑体"/>
          <w:sz w:val="32"/>
          <w:szCs w:val="32"/>
          <w:shd w:val="clear" w:color="auto" w:fill="FFFFFF"/>
        </w:rPr>
      </w:pPr>
      <w:r>
        <w:rPr>
          <w:rStyle w:val="9"/>
          <w:rFonts w:hint="eastAsia" w:ascii="黑体" w:hAnsi="黑体" w:eastAsia="黑体" w:cs="黑体"/>
          <w:sz w:val="32"/>
          <w:szCs w:val="32"/>
          <w:shd w:val="clear" w:color="auto" w:fill="FFFFFF"/>
        </w:rPr>
        <w:t>三、“三公”经费情况说明</w:t>
      </w:r>
    </w:p>
    <w:p>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 xml:space="preserve"> （一）“三公”经费支出总体情况说明</w:t>
      </w:r>
    </w:p>
    <w:p>
      <w:pPr>
        <w:pStyle w:val="5"/>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度“三公”经费支出共计</w:t>
      </w:r>
      <w:r>
        <w:rPr>
          <w:rFonts w:ascii="方正仿宋_GBK" w:hAnsi="方正仿宋_GBK" w:eastAsia="方正仿宋_GBK" w:cs="方正仿宋_GBK"/>
          <w:sz w:val="32"/>
          <w:szCs w:val="32"/>
        </w:rPr>
        <w:t>11.54</w:t>
      </w:r>
      <w:r>
        <w:rPr>
          <w:rFonts w:ascii="方正仿宋_GBK" w:hAnsi="方正仿宋_GBK" w:eastAsia="方正仿宋_GBK" w:cs="方正仿宋_GBK"/>
          <w:sz w:val="32"/>
          <w:szCs w:val="32"/>
          <w:shd w:val="clear" w:color="auto" w:fill="FFFFFF"/>
        </w:rPr>
        <w:t>万元，较年初预算数减少0.01万元，下降0.1%，主要原因</w:t>
      </w:r>
      <w:r>
        <w:rPr>
          <w:rFonts w:hint="eastAsia" w:ascii="方正仿宋_GBK" w:hAnsi="方正仿宋_GBK" w:eastAsia="方正仿宋_GBK" w:cs="方正仿宋_GBK"/>
          <w:sz w:val="32"/>
          <w:szCs w:val="32"/>
          <w:shd w:val="clear" w:color="auto" w:fill="FFFFFF"/>
        </w:rPr>
        <w:t>是我单位严格执行“三公”经费只减不增要求，严控公务用车运行维护费和公务接待费等支出。</w:t>
      </w:r>
      <w:r>
        <w:rPr>
          <w:rFonts w:ascii="方正仿宋_GBK" w:hAnsi="方正仿宋_GBK" w:eastAsia="方正仿宋_GBK" w:cs="方正仿宋_GBK"/>
          <w:sz w:val="32"/>
          <w:szCs w:val="32"/>
          <w:shd w:val="clear" w:color="auto" w:fill="FFFFFF"/>
        </w:rPr>
        <w:t>较上年支出数减少0.05万元，下降0.4%，主要原因</w:t>
      </w:r>
      <w:r>
        <w:rPr>
          <w:rFonts w:hint="eastAsia" w:ascii="方正仿宋_GBK" w:hAnsi="方正仿宋_GBK" w:eastAsia="方正仿宋_GBK" w:cs="方正仿宋_GBK"/>
          <w:sz w:val="32"/>
          <w:szCs w:val="32"/>
          <w:shd w:val="clear" w:color="auto" w:fill="FFFFFF"/>
        </w:rPr>
        <w:t>是一是我单位严格落实公车使用规定，公车运行维护成本得到有效管控。二是我单位持续强化公务接待支出管理，严格控制公务用车运行维护费和公务接待费等支出，公务接待费有所下降。</w:t>
      </w:r>
    </w:p>
    <w:p>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（二）“三公”经费分项支出情况</w:t>
      </w:r>
    </w:p>
    <w:p>
      <w:pPr>
        <w:pStyle w:val="5"/>
        <w:snapToGrid w:val="0"/>
        <w:spacing w:before="0" w:beforeAutospacing="0" w:after="0" w:afterAutospacing="0" w:line="600" w:lineRule="exact"/>
        <w:ind w:firstLine="640" w:firstLineChars="200"/>
        <w:jc w:val="both"/>
        <w:rPr>
          <w:rFonts w:hint="eastAsia" w:ascii="方正仿宋_GBK" w:hAnsi="方正仿宋_GBK" w:eastAsia="方正仿宋_GBK" w:cs="方正仿宋_GBK"/>
          <w:sz w:val="32"/>
          <w:szCs w:val="32"/>
          <w:shd w:val="clear" w:color="auto" w:fill="FFFFFF"/>
          <w:lang w:eastAsia="zh-CN"/>
        </w:rPr>
      </w:pPr>
      <w:r>
        <w:rPr>
          <w:rFonts w:hint="eastAsia" w:ascii="方正仿宋_GBK" w:hAnsi="方正仿宋_GBK" w:eastAsia="方正仿宋_GBK" w:cs="方正仿宋_GBK"/>
          <w:sz w:val="32"/>
          <w:szCs w:val="32"/>
          <w:shd w:val="clear" w:color="auto" w:fill="FFFFFF"/>
          <w:lang w:eastAsia="zh-CN"/>
        </w:rPr>
        <w:t>本单位202</w:t>
      </w:r>
      <w:r>
        <w:rPr>
          <w:rFonts w:hint="eastAsia" w:ascii="方正仿宋_GBK" w:hAnsi="方正仿宋_GBK" w:eastAsia="方正仿宋_GBK" w:cs="方正仿宋_GBK"/>
          <w:sz w:val="32"/>
          <w:szCs w:val="32"/>
          <w:shd w:val="clear" w:color="auto" w:fill="FFFFFF"/>
          <w:lang w:val="en-US" w:eastAsia="zh-CN"/>
        </w:rPr>
        <w:t>4</w:t>
      </w:r>
      <w:r>
        <w:rPr>
          <w:rFonts w:hint="eastAsia" w:ascii="方正仿宋_GBK" w:hAnsi="方正仿宋_GBK" w:eastAsia="方正仿宋_GBK" w:cs="方正仿宋_GBK"/>
          <w:sz w:val="32"/>
          <w:szCs w:val="32"/>
          <w:shd w:val="clear" w:color="auto" w:fill="FFFFFF"/>
          <w:lang w:eastAsia="zh-CN"/>
        </w:rPr>
        <w:t>年度未产生因公出国（境）费用支出。</w:t>
      </w:r>
    </w:p>
    <w:p>
      <w:pPr>
        <w:pStyle w:val="5"/>
        <w:snapToGrid w:val="0"/>
        <w:spacing w:before="0" w:beforeAutospacing="0" w:after="0" w:afterAutospacing="0" w:line="600" w:lineRule="exact"/>
        <w:ind w:firstLine="640" w:firstLineChars="200"/>
        <w:jc w:val="both"/>
        <w:rPr>
          <w:rFonts w:hint="eastAsia"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rPr>
        <w:t>本单位202</w:t>
      </w:r>
      <w:r>
        <w:rPr>
          <w:rFonts w:hint="eastAsia" w:ascii="方正仿宋_GBK" w:hAnsi="方正仿宋_GBK" w:eastAsia="方正仿宋_GBK" w:cs="方正仿宋_GBK"/>
          <w:sz w:val="32"/>
          <w:szCs w:val="32"/>
          <w:shd w:val="clear" w:color="auto" w:fill="FFFFFF"/>
          <w:lang w:val="en-US" w:eastAsia="zh-CN"/>
        </w:rPr>
        <w:t>4</w:t>
      </w:r>
      <w:r>
        <w:rPr>
          <w:rFonts w:hint="eastAsia" w:ascii="方正仿宋_GBK" w:hAnsi="方正仿宋_GBK" w:eastAsia="方正仿宋_GBK" w:cs="方正仿宋_GBK"/>
          <w:sz w:val="32"/>
          <w:szCs w:val="32"/>
          <w:shd w:val="clear" w:color="auto" w:fill="FFFFFF"/>
        </w:rPr>
        <w:t>年度未产生公务车购置费用支出。</w:t>
      </w:r>
    </w:p>
    <w:p>
      <w:pPr>
        <w:pStyle w:val="5"/>
        <w:snapToGrid w:val="0"/>
        <w:spacing w:before="0" w:beforeAutospacing="0" w:after="0" w:afterAutospacing="0" w:line="600" w:lineRule="exact"/>
        <w:ind w:firstLine="640" w:firstLineChars="200"/>
        <w:jc w:val="both"/>
        <w:rPr>
          <w:rFonts w:hint="eastAsia" w:ascii="方正仿宋_GBK" w:hAnsi="方正仿宋_GBK" w:eastAsia="方正仿宋_GBK" w:cs="方正仿宋_GBK"/>
          <w:sz w:val="32"/>
          <w:szCs w:val="32"/>
          <w:lang w:eastAsia="zh-CN"/>
        </w:rPr>
      </w:pPr>
      <w:r>
        <w:rPr>
          <w:rFonts w:ascii="方正仿宋_GBK" w:hAnsi="方正仿宋_GBK" w:eastAsia="方正仿宋_GBK" w:cs="方正仿宋_GBK"/>
          <w:sz w:val="32"/>
          <w:szCs w:val="32"/>
          <w:shd w:val="clear" w:color="auto" w:fill="FFFFFF"/>
        </w:rPr>
        <w:t> 公务</w:t>
      </w:r>
      <w:r>
        <w:rPr>
          <w:rFonts w:ascii="方正仿宋_GBK" w:hAnsi="方正仿宋_GBK" w:eastAsia="方正仿宋_GBK" w:cs="方正仿宋_GBK"/>
          <w:color w:val="auto"/>
          <w:sz w:val="32"/>
          <w:szCs w:val="32"/>
          <w:shd w:val="clear" w:color="auto" w:fill="FFFFFF"/>
        </w:rPr>
        <w:t>车运行维护费</w:t>
      </w:r>
      <w:r>
        <w:rPr>
          <w:rFonts w:ascii="方正仿宋_GBK" w:hAnsi="方正仿宋_GBK" w:eastAsia="方正仿宋_GBK" w:cs="方正仿宋_GBK"/>
          <w:color w:val="auto"/>
          <w:sz w:val="32"/>
          <w:szCs w:val="32"/>
        </w:rPr>
        <w:t>5.29</w:t>
      </w:r>
      <w:r>
        <w:rPr>
          <w:rFonts w:ascii="方正仿宋_GBK" w:hAnsi="方正仿宋_GBK" w:eastAsia="方正仿宋_GBK" w:cs="方正仿宋_GBK"/>
          <w:color w:val="auto"/>
          <w:sz w:val="32"/>
          <w:szCs w:val="32"/>
          <w:shd w:val="clear" w:color="auto" w:fill="FFFFFF"/>
        </w:rPr>
        <w:t>万元，主要用于</w:t>
      </w:r>
      <w:r>
        <w:rPr>
          <w:rFonts w:hint="eastAsia" w:ascii="方正仿宋_GBK" w:hAnsi="方正仿宋_GBK" w:eastAsia="方正仿宋_GBK" w:cs="方正仿宋_GBK"/>
          <w:color w:val="auto"/>
          <w:sz w:val="32"/>
          <w:szCs w:val="32"/>
          <w:shd w:val="clear" w:color="auto" w:fill="FFFFFF"/>
        </w:rPr>
        <w:t>公务车保险费、油料费、维修费等开支。</w:t>
      </w:r>
      <w:r>
        <w:rPr>
          <w:rFonts w:ascii="方正仿宋_GBK" w:hAnsi="方正仿宋_GBK" w:eastAsia="方正仿宋_GBK" w:cs="方正仿宋_GBK"/>
          <w:color w:val="auto"/>
          <w:sz w:val="32"/>
          <w:szCs w:val="32"/>
          <w:shd w:val="clear" w:color="auto" w:fill="FFFFFF"/>
        </w:rPr>
        <w:t>费用支出较年初预算数减少0.01万元，下降0.2%，主要原因是</w:t>
      </w:r>
      <w:r>
        <w:rPr>
          <w:rFonts w:hint="eastAsia" w:ascii="方正仿宋_GBK" w:hAnsi="方正仿宋_GBK" w:eastAsia="方正仿宋_GBK" w:cs="方正仿宋_GBK"/>
          <w:color w:val="auto"/>
          <w:sz w:val="32"/>
          <w:szCs w:val="32"/>
          <w:shd w:val="clear" w:color="auto" w:fill="FFFFFF"/>
        </w:rPr>
        <w:t>严格公车管理，公车运行维护成本下降。</w:t>
      </w:r>
      <w:r>
        <w:rPr>
          <w:rFonts w:ascii="方正仿宋_GBK" w:hAnsi="方正仿宋_GBK" w:eastAsia="方正仿宋_GBK" w:cs="方正仿宋_GBK"/>
          <w:sz w:val="32"/>
          <w:szCs w:val="32"/>
          <w:shd w:val="clear" w:color="auto" w:fill="FFFFFF"/>
        </w:rPr>
        <w:t>较上年支出数无增减</w:t>
      </w:r>
      <w:r>
        <w:rPr>
          <w:rFonts w:hint="eastAsia" w:ascii="方正仿宋_GBK" w:hAnsi="方正仿宋_GBK" w:eastAsia="方正仿宋_GBK" w:cs="方正仿宋_GBK"/>
          <w:sz w:val="32"/>
          <w:szCs w:val="32"/>
          <w:shd w:val="clear" w:color="auto" w:fill="FFFFFF"/>
          <w:lang w:eastAsia="zh-CN"/>
        </w:rPr>
        <w:t>。</w:t>
      </w:r>
    </w:p>
    <w:p>
      <w:pPr>
        <w:pStyle w:val="5"/>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 公务接待费</w:t>
      </w:r>
      <w:r>
        <w:rPr>
          <w:rFonts w:ascii="方正仿宋_GBK" w:hAnsi="方正仿宋_GBK" w:eastAsia="方正仿宋_GBK" w:cs="方正仿宋_GBK"/>
          <w:sz w:val="32"/>
          <w:szCs w:val="32"/>
        </w:rPr>
        <w:t>6.25</w:t>
      </w:r>
      <w:r>
        <w:rPr>
          <w:rFonts w:ascii="方正仿宋_GBK" w:hAnsi="方正仿宋_GBK" w:eastAsia="方正仿宋_GBK" w:cs="方正仿宋_GBK"/>
          <w:sz w:val="32"/>
          <w:szCs w:val="32"/>
          <w:shd w:val="clear" w:color="auto" w:fill="FFFFFF"/>
        </w:rPr>
        <w:t>万元，主要用于</w:t>
      </w:r>
      <w:r>
        <w:rPr>
          <w:rFonts w:hint="eastAsia" w:ascii="方正仿宋_GBK" w:hAnsi="方正仿宋_GBK" w:eastAsia="方正仿宋_GBK" w:cs="方正仿宋_GBK"/>
          <w:sz w:val="32"/>
          <w:szCs w:val="32"/>
          <w:shd w:val="clear" w:color="auto" w:fill="FFFFFF"/>
        </w:rPr>
        <w:t>日常工作中产生的接</w:t>
      </w:r>
      <w:r>
        <w:rPr>
          <w:rFonts w:hint="eastAsia" w:ascii="方正仿宋_GBK" w:hAnsi="方正仿宋_GBK" w:eastAsia="方正仿宋_GBK" w:cs="方正仿宋_GBK"/>
          <w:color w:val="auto"/>
          <w:sz w:val="32"/>
          <w:szCs w:val="32"/>
          <w:shd w:val="clear" w:color="auto" w:fill="FFFFFF"/>
        </w:rPr>
        <w:t>待支出。</w:t>
      </w:r>
      <w:r>
        <w:rPr>
          <w:rFonts w:ascii="方正仿宋_GBK" w:hAnsi="方正仿宋_GBK" w:eastAsia="方正仿宋_GBK" w:cs="方正仿宋_GBK"/>
          <w:color w:val="auto"/>
          <w:sz w:val="32"/>
          <w:szCs w:val="32"/>
          <w:shd w:val="clear" w:color="auto" w:fill="FFFFFF"/>
        </w:rPr>
        <w:t>费用支出较年初预算数无增减，主要原因是</w:t>
      </w:r>
      <w:r>
        <w:rPr>
          <w:rFonts w:hint="eastAsia" w:ascii="方正仿宋_GBK" w:hAnsi="方正仿宋_GBK" w:eastAsia="方正仿宋_GBK" w:cs="方正仿宋_GBK"/>
          <w:color w:val="auto"/>
          <w:sz w:val="32"/>
          <w:szCs w:val="32"/>
          <w:shd w:val="clear" w:color="auto" w:fill="FFFFFF"/>
        </w:rPr>
        <w:t>贯彻落实中央相关规定要求，按照只减不增的要求从严控制“三公”经费。</w:t>
      </w:r>
      <w:r>
        <w:rPr>
          <w:rFonts w:ascii="方正仿宋_GBK" w:hAnsi="方正仿宋_GBK" w:eastAsia="方正仿宋_GBK" w:cs="方正仿宋_GBK"/>
          <w:sz w:val="32"/>
          <w:szCs w:val="32"/>
          <w:shd w:val="clear" w:color="auto" w:fill="FFFFFF"/>
        </w:rPr>
        <w:t>较上年支出数减少0.05万元，下降0.8%，主要原因是</w:t>
      </w:r>
      <w:r>
        <w:rPr>
          <w:rFonts w:hint="eastAsia" w:ascii="方正仿宋_GBK" w:hAnsi="方正仿宋_GBK" w:eastAsia="方正仿宋_GBK" w:cs="方正仿宋_GBK"/>
          <w:color w:val="auto"/>
          <w:sz w:val="32"/>
          <w:szCs w:val="32"/>
          <w:shd w:val="clear" w:color="auto" w:fill="FFFFFF"/>
        </w:rPr>
        <w:t>街道持续落实过紧日子思想，按照只减不增的要求从严控制三公经费，严格遵守公务接待开支范围和开支标准，严格执行“三公”经费管理的要求，厉行节约，严格控制“三公”经费支出。</w:t>
      </w:r>
    </w:p>
    <w:p>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（三）“三公”经费实物量情况</w:t>
      </w:r>
    </w:p>
    <w:p>
      <w:pPr>
        <w:pStyle w:val="5"/>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 xml:space="preserve">  </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度本</w:t>
      </w:r>
      <w:r>
        <w:rPr>
          <w:rFonts w:hint="eastAsia" w:ascii="方正仿宋_GBK" w:hAnsi="方正仿宋_GBK" w:eastAsia="方正仿宋_GBK" w:cs="方正仿宋_GBK"/>
          <w:sz w:val="32"/>
          <w:szCs w:val="32"/>
          <w:shd w:val="clear" w:color="auto" w:fill="FFFFFF"/>
          <w:lang w:eastAsia="zh-CN"/>
        </w:rPr>
        <w:t>单位</w:t>
      </w:r>
      <w:r>
        <w:rPr>
          <w:rFonts w:ascii="方正仿宋_GBK" w:hAnsi="方正仿宋_GBK" w:eastAsia="方正仿宋_GBK" w:cs="方正仿宋_GBK"/>
          <w:sz w:val="32"/>
          <w:szCs w:val="32"/>
          <w:shd w:val="clear" w:color="auto" w:fill="FFFFFF"/>
        </w:rPr>
        <w:t>公务车保有量为</w:t>
      </w:r>
      <w:r>
        <w:rPr>
          <w:rFonts w:ascii="方正仿宋_GBK" w:hAnsi="方正仿宋_GBK" w:eastAsia="方正仿宋_GBK" w:cs="方正仿宋_GBK"/>
          <w:sz w:val="32"/>
          <w:szCs w:val="32"/>
        </w:rPr>
        <w:t>3</w:t>
      </w:r>
      <w:r>
        <w:rPr>
          <w:rFonts w:ascii="方正仿宋_GBK" w:hAnsi="方正仿宋_GBK" w:eastAsia="方正仿宋_GBK" w:cs="方正仿宋_GBK"/>
          <w:sz w:val="32"/>
          <w:szCs w:val="32"/>
          <w:shd w:val="clear" w:color="auto" w:fill="FFFFFF"/>
        </w:rPr>
        <w:t>辆；国内公务接待</w:t>
      </w:r>
      <w:r>
        <w:rPr>
          <w:rFonts w:ascii="方正仿宋_GBK" w:hAnsi="方正仿宋_GBK" w:eastAsia="方正仿宋_GBK" w:cs="方正仿宋_GBK"/>
          <w:sz w:val="32"/>
          <w:szCs w:val="32"/>
        </w:rPr>
        <w:t>84</w:t>
      </w:r>
      <w:r>
        <w:rPr>
          <w:rFonts w:ascii="方正仿宋_GBK" w:hAnsi="方正仿宋_GBK" w:eastAsia="方正仿宋_GBK" w:cs="方正仿宋_GBK"/>
          <w:sz w:val="32"/>
          <w:szCs w:val="32"/>
          <w:shd w:val="clear" w:color="auto" w:fill="FFFFFF"/>
        </w:rPr>
        <w:t>批次</w:t>
      </w:r>
      <w:r>
        <w:rPr>
          <w:rFonts w:ascii="方正仿宋_GBK" w:hAnsi="方正仿宋_GBK" w:eastAsia="方正仿宋_GBK" w:cs="方正仿宋_GBK"/>
          <w:sz w:val="32"/>
          <w:szCs w:val="32"/>
        </w:rPr>
        <w:t>834</w:t>
      </w:r>
      <w:r>
        <w:rPr>
          <w:rFonts w:ascii="方正仿宋_GBK" w:hAnsi="方正仿宋_GBK" w:eastAsia="方正仿宋_GBK" w:cs="方正仿宋_GBK"/>
          <w:sz w:val="32"/>
          <w:szCs w:val="32"/>
          <w:shd w:val="clear" w:color="auto" w:fill="FFFFFF"/>
        </w:rPr>
        <w:t>人，其中：国内外事接待</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批次，</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人；国（境）外公务接待</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批次，</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人。</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本部门人均接待费</w:t>
      </w:r>
      <w:r>
        <w:rPr>
          <w:rFonts w:ascii="方正仿宋_GBK" w:hAnsi="方正仿宋_GBK" w:eastAsia="方正仿宋_GBK" w:cs="方正仿宋_GBK"/>
          <w:sz w:val="32"/>
          <w:szCs w:val="32"/>
        </w:rPr>
        <w:t>74.94</w:t>
      </w:r>
      <w:r>
        <w:rPr>
          <w:rFonts w:ascii="方正仿宋_GBK" w:hAnsi="方正仿宋_GBK" w:eastAsia="方正仿宋_GBK" w:cs="方正仿宋_GBK"/>
          <w:sz w:val="32"/>
          <w:szCs w:val="32"/>
          <w:shd w:val="clear" w:color="auto" w:fill="FFFFFF"/>
        </w:rPr>
        <w:t>元，车均购置费</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万元，车均维护费</w:t>
      </w:r>
      <w:r>
        <w:rPr>
          <w:rFonts w:ascii="方正仿宋_GBK" w:hAnsi="方正仿宋_GBK" w:eastAsia="方正仿宋_GBK" w:cs="方正仿宋_GBK"/>
          <w:sz w:val="32"/>
          <w:szCs w:val="32"/>
        </w:rPr>
        <w:t>1.76</w:t>
      </w:r>
      <w:r>
        <w:rPr>
          <w:rFonts w:ascii="方正仿宋_GBK" w:hAnsi="方正仿宋_GBK" w:eastAsia="方正仿宋_GBK" w:cs="方正仿宋_GBK"/>
          <w:sz w:val="32"/>
          <w:szCs w:val="32"/>
          <w:shd w:val="clear" w:color="auto" w:fill="FFFFFF"/>
        </w:rPr>
        <w:t>万元。</w:t>
      </w:r>
    </w:p>
    <w:p>
      <w:pPr>
        <w:pStyle w:val="5"/>
        <w:shd w:val="clear" w:color="auto" w:fill="FFFFFF"/>
        <w:rPr>
          <w:rStyle w:val="9"/>
          <w:rFonts w:hint="default" w:ascii="方正仿宋_GBK" w:hAnsi="方正仿宋_GBK" w:eastAsia="方正仿宋_GBK" w:cs="方正仿宋_GBK"/>
          <w:sz w:val="32"/>
          <w:szCs w:val="32"/>
          <w:shd w:val="clear" w:color="auto" w:fill="FFFFFF"/>
        </w:rPr>
      </w:pPr>
      <w:r>
        <w:rPr>
          <w:rStyle w:val="9"/>
          <w:rFonts w:hint="eastAsia" w:ascii="黑体" w:hAnsi="黑体" w:eastAsia="黑体" w:cs="黑体"/>
          <w:sz w:val="32"/>
          <w:szCs w:val="32"/>
          <w:shd w:val="clear" w:color="auto" w:fill="FFFFFF"/>
        </w:rPr>
        <w:t>四、其他需要说明的事项</w:t>
      </w:r>
    </w:p>
    <w:p>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  （一）财政拨款会议费和培训费情况说明</w:t>
      </w:r>
    </w:p>
    <w:p>
      <w:pPr>
        <w:pStyle w:val="5"/>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  本年度会议费支出</w:t>
      </w:r>
      <w:r>
        <w:rPr>
          <w:rFonts w:ascii="方正仿宋_GBK" w:hAnsi="方正仿宋_GBK" w:eastAsia="方正仿宋_GBK" w:cs="方正仿宋_GBK"/>
          <w:sz w:val="32"/>
          <w:szCs w:val="32"/>
        </w:rPr>
        <w:t>0.58</w:t>
      </w:r>
      <w:r>
        <w:rPr>
          <w:rFonts w:ascii="方正仿宋_GBK" w:hAnsi="方正仿宋_GBK" w:eastAsia="方正仿宋_GBK" w:cs="方正仿宋_GBK"/>
          <w:sz w:val="32"/>
          <w:szCs w:val="32"/>
          <w:shd w:val="clear" w:color="auto" w:fill="FFFFFF"/>
        </w:rPr>
        <w:t>万元，与2023年度相比，增加0.58万元，增长100.0%，主要原因是</w:t>
      </w:r>
      <w:r>
        <w:rPr>
          <w:rFonts w:hint="eastAsia" w:ascii="方正仿宋_GBK" w:hAnsi="方正仿宋_GBK" w:eastAsia="方正仿宋_GBK" w:cs="方正仿宋_GBK"/>
          <w:sz w:val="32"/>
          <w:szCs w:val="32"/>
          <w:shd w:val="clear" w:color="auto" w:fill="FFFFFF"/>
          <w:lang w:eastAsia="zh-CN"/>
        </w:rPr>
        <w:t>人大议事会议支出增加。</w:t>
      </w:r>
      <w:r>
        <w:rPr>
          <w:rFonts w:ascii="方正仿宋_GBK" w:hAnsi="方正仿宋_GBK" w:eastAsia="方正仿宋_GBK" w:cs="方正仿宋_GBK"/>
          <w:sz w:val="32"/>
          <w:szCs w:val="32"/>
          <w:shd w:val="clear" w:color="auto" w:fill="FFFFFF"/>
        </w:rPr>
        <w:t>本年度培训费支出</w:t>
      </w:r>
      <w:r>
        <w:rPr>
          <w:rFonts w:ascii="方正仿宋_GBK" w:hAnsi="方正仿宋_GBK" w:eastAsia="方正仿宋_GBK" w:cs="方正仿宋_GBK"/>
          <w:sz w:val="32"/>
          <w:szCs w:val="32"/>
        </w:rPr>
        <w:t>5.71</w:t>
      </w:r>
      <w:r>
        <w:rPr>
          <w:rFonts w:ascii="方正仿宋_GBK" w:hAnsi="方正仿宋_GBK" w:eastAsia="方正仿宋_GBK" w:cs="方正仿宋_GBK"/>
          <w:sz w:val="32"/>
          <w:szCs w:val="32"/>
          <w:shd w:val="clear" w:color="auto" w:fill="FFFFFF"/>
        </w:rPr>
        <w:t>万元，与2023年度相比，增加4.74万元，增长488.7%，主要原因</w:t>
      </w:r>
      <w:bookmarkStart w:id="0" w:name="_GoBack"/>
      <w:bookmarkEnd w:id="0"/>
      <w:r>
        <w:rPr>
          <w:rFonts w:hint="eastAsia" w:ascii="方正仿宋_GBK" w:hAnsi="方正仿宋_GBK" w:eastAsia="方正仿宋_GBK" w:cs="方正仿宋_GBK"/>
          <w:sz w:val="32"/>
          <w:szCs w:val="32"/>
          <w:shd w:val="clear" w:color="auto" w:fill="FFFFFF"/>
        </w:rPr>
        <w:t>是一是上级部门组织外出培训较上年有所增加；二是单位职工培训需求和培训次数增多。</w:t>
      </w:r>
    </w:p>
    <w:p>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（二）机关运行经费情况说明</w:t>
      </w:r>
    </w:p>
    <w:p>
      <w:pPr>
        <w:pStyle w:val="5"/>
        <w:snapToGrid w:val="0"/>
        <w:spacing w:before="0" w:beforeAutospacing="0" w:after="0" w:afterAutospacing="0" w:line="600" w:lineRule="exact"/>
        <w:ind w:firstLine="1280" w:firstLineChars="400"/>
        <w:jc w:val="both"/>
        <w:rPr>
          <w:rFonts w:hint="default" w:ascii="方正仿宋_GBK" w:hAnsi="方正仿宋_GBK" w:eastAsia="方正仿宋_GBK" w:cs="方正仿宋_GBK"/>
          <w:color w:val="auto"/>
          <w:sz w:val="32"/>
          <w:szCs w:val="32"/>
          <w:shd w:val="clear" w:color="auto" w:fill="FFFFFF"/>
        </w:rPr>
      </w:pP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度本部门机关运行经费支出</w:t>
      </w:r>
      <w:r>
        <w:rPr>
          <w:rFonts w:ascii="方正仿宋_GBK" w:hAnsi="方正仿宋_GBK" w:eastAsia="方正仿宋_GBK" w:cs="方正仿宋_GBK"/>
          <w:sz w:val="32"/>
          <w:szCs w:val="32"/>
        </w:rPr>
        <w:t>3.48</w:t>
      </w:r>
      <w:r>
        <w:rPr>
          <w:rFonts w:ascii="方正仿宋_GBK" w:hAnsi="方正仿宋_GBK" w:eastAsia="方正仿宋_GBK" w:cs="方正仿宋_GBK"/>
          <w:sz w:val="32"/>
          <w:szCs w:val="32"/>
          <w:shd w:val="clear" w:color="auto" w:fill="FFFFFF"/>
        </w:rPr>
        <w:t>万元，</w:t>
      </w:r>
      <w:r>
        <w:rPr>
          <w:rFonts w:ascii="方正仿宋_GBK" w:hAnsi="方正仿宋_GBK" w:eastAsia="方正仿宋_GBK" w:cs="方正仿宋_GBK"/>
          <w:color w:val="auto"/>
          <w:sz w:val="32"/>
          <w:szCs w:val="32"/>
          <w:shd w:val="clear" w:color="auto" w:fill="FFFFFF"/>
        </w:rPr>
        <w:t>机关运行经费主要用于开支</w:t>
      </w:r>
      <w:r>
        <w:rPr>
          <w:rFonts w:hint="eastAsia" w:ascii="方正仿宋_GBK" w:hAnsi="方正仿宋_GBK" w:eastAsia="方正仿宋_GBK" w:cs="方正仿宋_GBK"/>
          <w:color w:val="auto"/>
          <w:sz w:val="32"/>
          <w:szCs w:val="32"/>
          <w:shd w:val="clear" w:color="auto" w:fill="FFFFFF"/>
        </w:rPr>
        <w:t>办公费、印刷费、机关办公水费、电费、邮电费、维修费、工会经费、物业管理费等开支。</w:t>
      </w:r>
      <w:r>
        <w:rPr>
          <w:rFonts w:ascii="方正仿宋_GBK" w:hAnsi="方正仿宋_GBK" w:eastAsia="方正仿宋_GBK" w:cs="方正仿宋_GBK"/>
          <w:sz w:val="32"/>
          <w:szCs w:val="32"/>
          <w:shd w:val="clear" w:color="auto" w:fill="FFFFFF"/>
        </w:rPr>
        <w:t>机</w:t>
      </w:r>
      <w:r>
        <w:rPr>
          <w:rFonts w:ascii="方正仿宋_GBK" w:hAnsi="方正仿宋_GBK" w:eastAsia="方正仿宋_GBK" w:cs="方正仿宋_GBK"/>
          <w:color w:val="auto"/>
          <w:sz w:val="32"/>
          <w:szCs w:val="32"/>
          <w:shd w:val="clear" w:color="auto" w:fill="FFFFFF"/>
        </w:rPr>
        <w:t>关运行经费较上年支出数减少6.63万元，下降6.9%，主要原因</w:t>
      </w:r>
      <w:r>
        <w:rPr>
          <w:rFonts w:hint="eastAsia" w:ascii="方正仿宋_GBK" w:hAnsi="方正仿宋_GBK" w:eastAsia="方正仿宋_GBK" w:cs="方正仿宋_GBK"/>
          <w:color w:val="auto"/>
          <w:sz w:val="32"/>
          <w:szCs w:val="32"/>
          <w:shd w:val="clear" w:color="auto" w:fill="FFFFFF"/>
        </w:rPr>
        <w:t>是本年度严格落实中央八项规定及市区“三公”经费管理要求，优化支出结构，严格审批程序，大力压缩机关办公开支、水电费等支出，降低运行成本。</w:t>
      </w:r>
    </w:p>
    <w:p>
      <w:pPr>
        <w:pStyle w:val="10"/>
        <w:autoSpaceDE w:val="0"/>
        <w:ind w:firstLine="640"/>
        <w:rPr>
          <w:rFonts w:hint="eastAsia" w:ascii="楷体" w:hAnsi="楷体" w:eastAsia="楷体" w:cs="楷体"/>
          <w:b/>
          <w:bCs/>
          <w:color w:val="auto"/>
          <w:sz w:val="32"/>
          <w:szCs w:val="32"/>
          <w:shd w:val="clear" w:color="auto" w:fill="FFFFFF"/>
          <w:lang w:bidi="ar"/>
        </w:rPr>
      </w:pPr>
      <w:r>
        <w:rPr>
          <w:rFonts w:hint="eastAsia" w:ascii="楷体" w:hAnsi="楷体" w:eastAsia="楷体" w:cs="楷体"/>
          <w:b/>
          <w:bCs/>
          <w:color w:val="auto"/>
          <w:sz w:val="32"/>
          <w:szCs w:val="32"/>
          <w:shd w:val="clear" w:color="auto" w:fill="FFFFFF"/>
          <w:lang w:bidi="ar"/>
        </w:rPr>
        <w:t>（三）国有资产占用情况说明</w:t>
      </w:r>
    </w:p>
    <w:p>
      <w:pPr>
        <w:pStyle w:val="5"/>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  截至</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12月31日，本部门共有车辆</w:t>
      </w:r>
      <w:r>
        <w:rPr>
          <w:rFonts w:ascii="方正仿宋_GBK" w:hAnsi="方正仿宋_GBK" w:eastAsia="方正仿宋_GBK" w:cs="方正仿宋_GBK"/>
          <w:sz w:val="32"/>
          <w:szCs w:val="32"/>
        </w:rPr>
        <w:t>7</w:t>
      </w:r>
      <w:r>
        <w:rPr>
          <w:rFonts w:ascii="方正仿宋_GBK" w:hAnsi="方正仿宋_GBK" w:eastAsia="方正仿宋_GBK" w:cs="方正仿宋_GBK"/>
          <w:sz w:val="32"/>
          <w:szCs w:val="32"/>
          <w:shd w:val="clear" w:color="auto" w:fill="FFFFFF"/>
        </w:rPr>
        <w:t>辆，其中，应急保障用车</w:t>
      </w:r>
      <w:r>
        <w:rPr>
          <w:rFonts w:ascii="方正仿宋_GBK" w:hAnsi="方正仿宋_GBK" w:eastAsia="方正仿宋_GBK" w:cs="方正仿宋_GBK"/>
          <w:sz w:val="32"/>
          <w:szCs w:val="32"/>
        </w:rPr>
        <w:t>2</w:t>
      </w:r>
      <w:r>
        <w:rPr>
          <w:rFonts w:ascii="方正仿宋_GBK" w:hAnsi="方正仿宋_GBK" w:eastAsia="方正仿宋_GBK" w:cs="方正仿宋_GBK"/>
          <w:sz w:val="32"/>
          <w:szCs w:val="32"/>
          <w:shd w:val="clear" w:color="auto" w:fill="FFFFFF"/>
        </w:rPr>
        <w:t>辆、特种专业技术用车</w:t>
      </w:r>
      <w:r>
        <w:rPr>
          <w:rFonts w:ascii="方正仿宋_GBK" w:hAnsi="方正仿宋_GBK" w:eastAsia="方正仿宋_GBK" w:cs="方正仿宋_GBK"/>
          <w:sz w:val="32"/>
          <w:szCs w:val="32"/>
        </w:rPr>
        <w:t>5</w:t>
      </w:r>
      <w:r>
        <w:rPr>
          <w:rFonts w:ascii="方正仿宋_GBK" w:hAnsi="方正仿宋_GBK" w:eastAsia="方正仿宋_GBK" w:cs="方正仿宋_GBK"/>
          <w:sz w:val="32"/>
          <w:szCs w:val="32"/>
          <w:shd w:val="clear" w:color="auto" w:fill="FFFFFF"/>
        </w:rPr>
        <w:t>辆。</w:t>
      </w:r>
    </w:p>
    <w:p>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（四）政府采购支出情况说明</w:t>
      </w:r>
    </w:p>
    <w:p>
      <w:pPr>
        <w:pStyle w:val="5"/>
        <w:snapToGrid w:val="0"/>
        <w:spacing w:before="0" w:beforeAutospacing="0" w:after="0" w:afterAutospacing="0" w:line="600" w:lineRule="exact"/>
        <w:ind w:firstLine="1280" w:firstLineChars="400"/>
        <w:jc w:val="both"/>
        <w:rPr>
          <w:rFonts w:hint="eastAsia" w:ascii="方正仿宋_GBK" w:hAnsi="方正仿宋_GBK" w:eastAsia="方正仿宋_GBK" w:cs="方正仿宋_GBK"/>
          <w:color w:val="FF0000"/>
          <w:sz w:val="32"/>
          <w:szCs w:val="32"/>
          <w:shd w:val="clear" w:color="auto" w:fill="FFFFFF"/>
          <w:lang w:val="en-US" w:eastAsia="zh-CN"/>
        </w:rPr>
      </w:pPr>
      <w:r>
        <w:rPr>
          <w:rFonts w:ascii="方正仿宋_GBK" w:hAnsi="方正仿宋_GBK" w:eastAsia="方正仿宋_GBK" w:cs="方正仿宋_GBK"/>
          <w:sz w:val="32"/>
          <w:szCs w:val="32"/>
          <w:shd w:val="clear" w:color="auto" w:fill="FFFFFF"/>
        </w:rPr>
        <w:t xml:space="preserve">  </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度本部门政府采购支出总额</w:t>
      </w:r>
      <w:r>
        <w:rPr>
          <w:rFonts w:ascii="方正仿宋_GBK" w:hAnsi="方正仿宋_GBK" w:eastAsia="方正仿宋_GBK" w:cs="方正仿宋_GBK"/>
          <w:sz w:val="32"/>
          <w:szCs w:val="32"/>
        </w:rPr>
        <w:t>101.09</w:t>
      </w:r>
      <w:r>
        <w:rPr>
          <w:rFonts w:ascii="方正仿宋_GBK" w:hAnsi="方正仿宋_GBK" w:eastAsia="方正仿宋_GBK" w:cs="方正仿宋_GBK"/>
          <w:sz w:val="32"/>
          <w:szCs w:val="32"/>
          <w:shd w:val="clear" w:color="auto" w:fill="FFFFFF"/>
        </w:rPr>
        <w:t>万元，其中：</w:t>
      </w:r>
      <w:r>
        <w:rPr>
          <w:rFonts w:ascii="方正仿宋_GBK" w:hAnsi="方正仿宋_GBK" w:eastAsia="方正仿宋_GBK" w:cs="方正仿宋_GBK"/>
          <w:color w:val="auto"/>
          <w:sz w:val="32"/>
          <w:szCs w:val="32"/>
          <w:shd w:val="clear" w:color="auto" w:fill="FFFFFF"/>
        </w:rPr>
        <w:t>政府采购货物支出</w:t>
      </w:r>
      <w:r>
        <w:rPr>
          <w:rFonts w:ascii="方正仿宋_GBK" w:hAnsi="方正仿宋_GBK" w:eastAsia="方正仿宋_GBK" w:cs="方正仿宋_GBK"/>
          <w:color w:val="auto"/>
          <w:sz w:val="32"/>
          <w:szCs w:val="32"/>
        </w:rPr>
        <w:t>101.09</w:t>
      </w:r>
      <w:r>
        <w:rPr>
          <w:rFonts w:ascii="方正仿宋_GBK" w:hAnsi="方正仿宋_GBK" w:eastAsia="方正仿宋_GBK" w:cs="方正仿宋_GBK"/>
          <w:color w:val="auto"/>
          <w:sz w:val="32"/>
          <w:szCs w:val="32"/>
          <w:shd w:val="clear" w:color="auto" w:fill="FFFFFF"/>
        </w:rPr>
        <w:t>万元、政府采购工程支出</w:t>
      </w:r>
      <w:r>
        <w:rPr>
          <w:rFonts w:ascii="方正仿宋_GBK" w:hAnsi="方正仿宋_GBK" w:eastAsia="方正仿宋_GBK" w:cs="方正仿宋_GBK"/>
          <w:color w:val="auto"/>
          <w:sz w:val="32"/>
          <w:szCs w:val="32"/>
        </w:rPr>
        <w:t>0.00</w:t>
      </w:r>
      <w:r>
        <w:rPr>
          <w:rFonts w:ascii="方正仿宋_GBK" w:hAnsi="方正仿宋_GBK" w:eastAsia="方正仿宋_GBK" w:cs="方正仿宋_GBK"/>
          <w:color w:val="auto"/>
          <w:sz w:val="32"/>
          <w:szCs w:val="32"/>
          <w:shd w:val="clear" w:color="auto" w:fill="FFFFFF"/>
        </w:rPr>
        <w:t>万元、政府采购服务支出</w:t>
      </w:r>
      <w:r>
        <w:rPr>
          <w:rFonts w:ascii="方正仿宋_GBK" w:hAnsi="方正仿宋_GBK" w:eastAsia="方正仿宋_GBK" w:cs="方正仿宋_GBK"/>
          <w:color w:val="auto"/>
          <w:sz w:val="32"/>
          <w:szCs w:val="32"/>
        </w:rPr>
        <w:t>0.00</w:t>
      </w:r>
      <w:r>
        <w:rPr>
          <w:rFonts w:ascii="方正仿宋_GBK" w:hAnsi="方正仿宋_GBK" w:eastAsia="方正仿宋_GBK" w:cs="方正仿宋_GBK"/>
          <w:color w:val="auto"/>
          <w:sz w:val="32"/>
          <w:szCs w:val="32"/>
          <w:shd w:val="clear" w:color="auto" w:fill="FFFFFF"/>
        </w:rPr>
        <w:t>万元。授予中小企业合同金额</w:t>
      </w:r>
      <w:r>
        <w:rPr>
          <w:rFonts w:ascii="方正仿宋_GBK" w:hAnsi="方正仿宋_GBK" w:eastAsia="方正仿宋_GBK" w:cs="方正仿宋_GBK"/>
          <w:color w:val="auto"/>
          <w:sz w:val="32"/>
          <w:szCs w:val="32"/>
        </w:rPr>
        <w:t>101.09万</w:t>
      </w:r>
      <w:r>
        <w:rPr>
          <w:rFonts w:ascii="方正仿宋_GBK" w:hAnsi="方正仿宋_GBK" w:eastAsia="方正仿宋_GBK" w:cs="方正仿宋_GBK"/>
          <w:color w:val="auto"/>
          <w:sz w:val="32"/>
          <w:szCs w:val="32"/>
          <w:shd w:val="clear" w:color="auto" w:fill="FFFFFF"/>
        </w:rPr>
        <w:t>元，占政府采购支出总额的</w:t>
      </w:r>
      <w:r>
        <w:rPr>
          <w:rFonts w:ascii="方正仿宋_GBK" w:hAnsi="方正仿宋_GBK" w:eastAsia="方正仿宋_GBK" w:cs="方正仿宋_GBK"/>
          <w:color w:val="auto"/>
          <w:sz w:val="32"/>
          <w:szCs w:val="32"/>
        </w:rPr>
        <w:t>100.00</w:t>
      </w:r>
      <w:r>
        <w:rPr>
          <w:rFonts w:ascii="方正仿宋_GBK" w:hAnsi="方正仿宋_GBK" w:eastAsia="方正仿宋_GBK" w:cs="方正仿宋_GBK"/>
          <w:color w:val="auto"/>
          <w:sz w:val="32"/>
          <w:szCs w:val="32"/>
          <w:shd w:val="clear" w:color="auto" w:fill="FFFFFF"/>
        </w:rPr>
        <w:t>%，其中：授予小微企业合同金额</w:t>
      </w:r>
      <w:r>
        <w:rPr>
          <w:rFonts w:ascii="方正仿宋_GBK" w:hAnsi="方正仿宋_GBK" w:eastAsia="方正仿宋_GBK" w:cs="方正仿宋_GBK"/>
          <w:color w:val="auto"/>
          <w:sz w:val="32"/>
          <w:szCs w:val="32"/>
        </w:rPr>
        <w:t>2.87</w:t>
      </w:r>
      <w:r>
        <w:rPr>
          <w:rFonts w:ascii="方正仿宋_GBK" w:hAnsi="方正仿宋_GBK" w:eastAsia="方正仿宋_GBK" w:cs="方正仿宋_GBK"/>
          <w:color w:val="auto"/>
          <w:sz w:val="32"/>
          <w:szCs w:val="32"/>
          <w:shd w:val="clear" w:color="auto" w:fill="FFFFFF"/>
        </w:rPr>
        <w:t>万元，占政府采购支出总额的</w:t>
      </w:r>
      <w:r>
        <w:rPr>
          <w:rFonts w:ascii="方正仿宋_GBK" w:hAnsi="方正仿宋_GBK" w:eastAsia="方正仿宋_GBK" w:cs="方正仿宋_GBK"/>
          <w:color w:val="auto"/>
          <w:sz w:val="32"/>
          <w:szCs w:val="32"/>
        </w:rPr>
        <w:t>2.84</w:t>
      </w:r>
      <w:r>
        <w:rPr>
          <w:rFonts w:ascii="方正仿宋_GBK" w:hAnsi="方正仿宋_GBK" w:eastAsia="方正仿宋_GBK" w:cs="方正仿宋_GBK"/>
          <w:color w:val="auto"/>
          <w:sz w:val="32"/>
          <w:szCs w:val="32"/>
          <w:shd w:val="clear" w:color="auto" w:fill="FFFFFF"/>
        </w:rPr>
        <w:t xml:space="preserve"> %。主要用于采购</w:t>
      </w:r>
      <w:r>
        <w:rPr>
          <w:rFonts w:hint="eastAsia" w:ascii="方正仿宋_GBK" w:hAnsi="方正仿宋_GBK" w:eastAsia="方正仿宋_GBK" w:cs="方正仿宋_GBK"/>
          <w:color w:val="auto"/>
          <w:sz w:val="32"/>
          <w:szCs w:val="32"/>
          <w:shd w:val="clear" w:color="auto" w:fill="FFFFFF"/>
        </w:rPr>
        <w:t>采购办公设备等</w:t>
      </w:r>
      <w:r>
        <w:rPr>
          <w:rFonts w:hint="eastAsia" w:ascii="方正仿宋_GBK" w:hAnsi="方正仿宋_GBK" w:eastAsia="方正仿宋_GBK" w:cs="方正仿宋_GBK"/>
          <w:color w:val="auto"/>
          <w:sz w:val="32"/>
          <w:szCs w:val="32"/>
          <w:shd w:val="clear" w:color="auto" w:fill="FFFFFF"/>
          <w:lang w:eastAsia="zh-CN"/>
        </w:rPr>
        <w:t>。</w:t>
      </w:r>
    </w:p>
    <w:p>
      <w:pPr>
        <w:pStyle w:val="5"/>
        <w:numPr>
          <w:ilvl w:val="0"/>
          <w:numId w:val="1"/>
        </w:numPr>
        <w:shd w:val="clear" w:color="auto" w:fill="FFFFFF"/>
        <w:rPr>
          <w:rStyle w:val="9"/>
          <w:rFonts w:hint="eastAsia" w:ascii="黑体" w:hAnsi="黑体" w:eastAsia="黑体" w:cs="黑体"/>
          <w:sz w:val="32"/>
          <w:szCs w:val="32"/>
          <w:shd w:val="clear" w:color="auto" w:fill="FFFFFF"/>
        </w:rPr>
      </w:pPr>
      <w:r>
        <w:rPr>
          <w:rStyle w:val="9"/>
          <w:rFonts w:hint="eastAsia" w:ascii="黑体" w:hAnsi="黑体" w:eastAsia="黑体" w:cs="黑体"/>
          <w:sz w:val="32"/>
          <w:szCs w:val="32"/>
          <w:shd w:val="clear" w:color="auto" w:fill="FFFFFF"/>
        </w:rPr>
        <w:t>预算绩效管理情况说明</w:t>
      </w:r>
    </w:p>
    <w:p>
      <w:pPr>
        <w:pStyle w:val="10"/>
        <w:autoSpaceDE w:val="0"/>
        <w:ind w:firstLine="640"/>
        <w:rPr>
          <w:rFonts w:hint="eastAsia" w:ascii="楷体" w:hAnsi="楷体" w:eastAsia="楷体" w:cs="楷体"/>
          <w:b/>
          <w:bCs/>
          <w:sz w:val="32"/>
          <w:szCs w:val="32"/>
          <w:highlight w:val="none"/>
          <w:shd w:val="clear" w:color="auto" w:fill="FFFFFF"/>
          <w:lang w:bidi="ar"/>
        </w:rPr>
      </w:pPr>
      <w:r>
        <w:rPr>
          <w:rFonts w:hint="eastAsia" w:ascii="楷体" w:hAnsi="楷体" w:eastAsia="楷体" w:cs="楷体"/>
          <w:b/>
          <w:bCs/>
          <w:sz w:val="32"/>
          <w:szCs w:val="32"/>
          <w:highlight w:val="none"/>
          <w:shd w:val="clear" w:color="auto" w:fill="FFFFFF"/>
          <w:lang w:bidi="ar"/>
        </w:rPr>
        <w:t>（一）单位自评情况</w:t>
      </w:r>
    </w:p>
    <w:p>
      <w:pPr>
        <w:pStyle w:val="11"/>
        <w:autoSpaceDE w:val="0"/>
        <w:spacing w:before="0" w:beforeAutospacing="0" w:line="600" w:lineRule="exact"/>
        <w:ind w:firstLine="640" w:firstLineChars="200"/>
        <w:rPr>
          <w:rFonts w:hint="eastAsia" w:ascii="方正仿宋_GBK" w:hAnsi="方正仿宋_GBK" w:eastAsia="方正仿宋_GBK" w:cs="方正仿宋_GBK"/>
          <w:sz w:val="32"/>
          <w:szCs w:val="32"/>
          <w:highlight w:val="none"/>
          <w:shd w:val="clear" w:color="auto" w:fill="FFFFFF"/>
          <w:lang w:bidi="ar"/>
        </w:rPr>
      </w:pPr>
      <w:r>
        <w:rPr>
          <w:rFonts w:hint="eastAsia" w:ascii="方正仿宋_GBK" w:hAnsi="方正仿宋_GBK" w:eastAsia="方正仿宋_GBK" w:cs="方正仿宋_GBK"/>
          <w:sz w:val="32"/>
          <w:szCs w:val="32"/>
          <w:highlight w:val="none"/>
          <w:shd w:val="clear" w:color="auto" w:fill="FFFFFF"/>
          <w:lang w:bidi="ar"/>
        </w:rPr>
        <w:t>根据预算绩效管理要求，我单位对部门整体绩效（见附件1）和</w:t>
      </w:r>
      <w:r>
        <w:rPr>
          <w:rFonts w:hint="eastAsia" w:ascii="方正仿宋_GBK" w:hAnsi="方正仿宋_GBK" w:eastAsia="方正仿宋_GBK" w:cs="方正仿宋_GBK"/>
          <w:sz w:val="32"/>
          <w:szCs w:val="32"/>
          <w:highlight w:val="none"/>
          <w:shd w:val="clear" w:color="auto" w:fill="FFFFFF"/>
          <w:lang w:val="en-US" w:eastAsia="zh-CN" w:bidi="ar"/>
        </w:rPr>
        <w:t>64</w:t>
      </w:r>
      <w:r>
        <w:rPr>
          <w:rFonts w:hint="eastAsia" w:ascii="方正仿宋_GBK" w:hAnsi="方正仿宋_GBK" w:eastAsia="方正仿宋_GBK" w:cs="方正仿宋_GBK"/>
          <w:sz w:val="32"/>
          <w:szCs w:val="32"/>
          <w:highlight w:val="none"/>
          <w:shd w:val="clear" w:color="auto" w:fill="FFFFFF"/>
          <w:lang w:bidi="ar"/>
        </w:rPr>
        <w:t>个二级项目开展了绩效自评，涉及财政拨款项目支出资金</w:t>
      </w:r>
      <w:r>
        <w:rPr>
          <w:rFonts w:hint="eastAsia" w:ascii="方正仿宋_GBK" w:hAnsi="方正仿宋_GBK" w:eastAsia="方正仿宋_GBK" w:cs="方正仿宋_GBK"/>
          <w:sz w:val="32"/>
          <w:szCs w:val="32"/>
          <w:highlight w:val="none"/>
          <w:shd w:val="clear" w:color="auto" w:fill="FFFFFF"/>
          <w:lang w:val="en-US" w:eastAsia="zh-CN" w:bidi="ar"/>
        </w:rPr>
        <w:t>2157.53</w:t>
      </w:r>
      <w:r>
        <w:rPr>
          <w:rFonts w:hint="eastAsia" w:ascii="方正仿宋_GBK" w:hAnsi="方正仿宋_GBK" w:eastAsia="方正仿宋_GBK" w:cs="方正仿宋_GBK"/>
          <w:sz w:val="32"/>
          <w:szCs w:val="32"/>
          <w:highlight w:val="none"/>
          <w:shd w:val="clear" w:color="auto" w:fill="FFFFFF"/>
          <w:lang w:bidi="ar"/>
        </w:rPr>
        <w:t>万元。</w:t>
      </w:r>
    </w:p>
    <w:p>
      <w:pPr>
        <w:pStyle w:val="11"/>
        <w:autoSpaceDE w:val="0"/>
        <w:spacing w:before="0" w:beforeAutospacing="0" w:line="600" w:lineRule="exact"/>
        <w:ind w:firstLine="642" w:firstLineChars="200"/>
        <w:jc w:val="center"/>
        <w:rPr>
          <w:rFonts w:hint="eastAsia" w:ascii="宋体" w:hAnsi="宋体" w:eastAsia="宋体" w:cs="宋体"/>
          <w:b/>
          <w:bCs/>
          <w:i w:val="0"/>
          <w:iCs w:val="0"/>
          <w:color w:val="000000"/>
          <w:kern w:val="0"/>
          <w:sz w:val="32"/>
          <w:szCs w:val="32"/>
          <w:u w:val="none"/>
          <w:lang w:val="en-US" w:eastAsia="zh-CN" w:bidi="ar"/>
        </w:rPr>
      </w:pPr>
      <w:r>
        <w:rPr>
          <w:rFonts w:hint="eastAsia" w:ascii="宋体" w:hAnsi="宋体" w:eastAsia="宋体" w:cs="宋体"/>
          <w:b/>
          <w:bCs/>
          <w:i w:val="0"/>
          <w:iCs w:val="0"/>
          <w:color w:val="000000"/>
          <w:kern w:val="0"/>
          <w:sz w:val="32"/>
          <w:szCs w:val="32"/>
          <w:u w:val="none"/>
          <w:lang w:val="en-US" w:eastAsia="zh-CN" w:bidi="ar"/>
        </w:rPr>
        <w:t>城东街道办事处2024年度项目支出绩效自评情况表（二级项目）</w:t>
      </w:r>
    </w:p>
    <w:tbl>
      <w:tblPr>
        <w:tblStyle w:val="6"/>
        <w:tblW w:w="5244" w:type="pct"/>
        <w:tblInd w:w="-18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80"/>
        <w:gridCol w:w="920"/>
        <w:gridCol w:w="2020"/>
        <w:gridCol w:w="695"/>
        <w:gridCol w:w="731"/>
        <w:gridCol w:w="803"/>
        <w:gridCol w:w="767"/>
        <w:gridCol w:w="867"/>
        <w:gridCol w:w="768"/>
        <w:gridCol w:w="79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8" w:hRule="atLeast"/>
        </w:trPr>
        <w:tc>
          <w:tcPr>
            <w:tcW w:w="3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序号</w:t>
            </w:r>
          </w:p>
        </w:tc>
        <w:tc>
          <w:tcPr>
            <w:tcW w:w="51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项目名称</w:t>
            </w:r>
          </w:p>
        </w:tc>
        <w:tc>
          <w:tcPr>
            <w:tcW w:w="11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指标名称</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指标性质</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指标值</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计量单位</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指标权重</w:t>
            </w:r>
          </w:p>
        </w:tc>
        <w:tc>
          <w:tcPr>
            <w:tcW w:w="4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全年完成值</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指标得分</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32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1</w:t>
            </w:r>
          </w:p>
        </w:tc>
        <w:tc>
          <w:tcPr>
            <w:tcW w:w="51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 xml:space="preserve">意识形态专项支出 </w:t>
            </w:r>
          </w:p>
        </w:tc>
        <w:tc>
          <w:tcPr>
            <w:tcW w:w="11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预算执行率</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100</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40</w:t>
            </w:r>
          </w:p>
        </w:tc>
        <w:tc>
          <w:tcPr>
            <w:tcW w:w="4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100</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40</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方正仿宋_GBK" w:cs="方正小标宋_GBK"/>
                <w:sz w:val="22"/>
                <w:szCs w:val="22"/>
                <w:highlight w:val="none"/>
                <w:shd w:val="clear" w:color="auto" w:fill="FFFFFF"/>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32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5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11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资金投入量</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6</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万元/年</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10</w:t>
            </w:r>
          </w:p>
        </w:tc>
        <w:tc>
          <w:tcPr>
            <w:tcW w:w="4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6</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10</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方正仿宋_GBK" w:cs="方正小标宋_GBK"/>
                <w:sz w:val="22"/>
                <w:szCs w:val="22"/>
                <w:highlight w:val="none"/>
                <w:shd w:val="clear" w:color="auto" w:fill="FFFFFF"/>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32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5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11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正确引导促进经济发展效益</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定性</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提高</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10</w:t>
            </w:r>
          </w:p>
        </w:tc>
        <w:tc>
          <w:tcPr>
            <w:tcW w:w="4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1</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10</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方正仿宋_GBK" w:cs="方正小标宋_GBK"/>
                <w:sz w:val="22"/>
                <w:szCs w:val="22"/>
                <w:highlight w:val="none"/>
                <w:shd w:val="clear" w:color="auto" w:fill="FFFFFF"/>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32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5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11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党的理论路线方针政策深入人心</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定性</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好</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20</w:t>
            </w:r>
          </w:p>
        </w:tc>
        <w:tc>
          <w:tcPr>
            <w:tcW w:w="4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1</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20</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方正仿宋_GBK" w:cs="方正小标宋_GBK"/>
                <w:sz w:val="22"/>
                <w:szCs w:val="22"/>
                <w:highlight w:val="none"/>
                <w:shd w:val="clear" w:color="auto" w:fill="FFFFFF"/>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32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5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11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意识形态领域管理满意度</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100</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10</w:t>
            </w:r>
          </w:p>
        </w:tc>
        <w:tc>
          <w:tcPr>
            <w:tcW w:w="4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100</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10</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方正仿宋_GBK" w:cs="方正小标宋_GBK"/>
                <w:sz w:val="22"/>
                <w:szCs w:val="22"/>
                <w:highlight w:val="none"/>
                <w:shd w:val="clear" w:color="auto" w:fill="FFFFFF"/>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32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2</w:t>
            </w:r>
          </w:p>
        </w:tc>
        <w:tc>
          <w:tcPr>
            <w:tcW w:w="51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 xml:space="preserve">社会事业发展支出 </w:t>
            </w:r>
          </w:p>
        </w:tc>
        <w:tc>
          <w:tcPr>
            <w:tcW w:w="11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保障机关科室及社区运转数</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个</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22</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22</w:t>
            </w:r>
          </w:p>
        </w:tc>
        <w:tc>
          <w:tcPr>
            <w:tcW w:w="4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10</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10</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方正仿宋_GBK" w:cs="方正小标宋_GBK"/>
                <w:sz w:val="22"/>
                <w:szCs w:val="22"/>
                <w:highlight w:val="none"/>
                <w:shd w:val="clear" w:color="auto" w:fill="FFFFFF"/>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32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5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11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巩固发展优质莲藕</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亩</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350</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350</w:t>
            </w:r>
          </w:p>
        </w:tc>
        <w:tc>
          <w:tcPr>
            <w:tcW w:w="4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5</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5</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方正仿宋_GBK" w:cs="方正小标宋_GBK"/>
                <w:sz w:val="22"/>
                <w:szCs w:val="22"/>
                <w:highlight w:val="none"/>
                <w:shd w:val="clear" w:color="auto" w:fill="FFFFFF"/>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32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5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11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新增就业及困难人员</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人次</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500</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500</w:t>
            </w:r>
          </w:p>
        </w:tc>
        <w:tc>
          <w:tcPr>
            <w:tcW w:w="4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5</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5</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方正仿宋_GBK" w:cs="方正小标宋_GBK"/>
                <w:sz w:val="22"/>
                <w:szCs w:val="22"/>
                <w:highlight w:val="none"/>
                <w:shd w:val="clear" w:color="auto" w:fill="FFFFFF"/>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32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5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11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商贸经济持续稳定发展，居民收入增长率</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5</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5</w:t>
            </w:r>
          </w:p>
        </w:tc>
        <w:tc>
          <w:tcPr>
            <w:tcW w:w="4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10</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10</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方正仿宋_GBK" w:cs="方正小标宋_GBK"/>
                <w:sz w:val="22"/>
                <w:szCs w:val="22"/>
                <w:highlight w:val="none"/>
                <w:shd w:val="clear" w:color="auto" w:fill="FFFFFF"/>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32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5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11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社区在册居家严重精神障碍患者规范管理率</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85</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85</w:t>
            </w:r>
          </w:p>
        </w:tc>
        <w:tc>
          <w:tcPr>
            <w:tcW w:w="4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5</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5</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方正仿宋_GBK" w:cs="方正小标宋_GBK"/>
                <w:sz w:val="22"/>
                <w:szCs w:val="22"/>
                <w:highlight w:val="none"/>
                <w:shd w:val="clear" w:color="auto" w:fill="FFFFFF"/>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32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5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11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临时困难对象救助及时率</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100</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100</w:t>
            </w:r>
          </w:p>
        </w:tc>
        <w:tc>
          <w:tcPr>
            <w:tcW w:w="4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5</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5</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方正仿宋_GBK" w:cs="方正小标宋_GBK"/>
                <w:sz w:val="22"/>
                <w:szCs w:val="22"/>
                <w:highlight w:val="none"/>
                <w:shd w:val="clear" w:color="auto" w:fill="FFFFFF"/>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32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5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11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65岁及以上老年人健康管理率</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90</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90</w:t>
            </w:r>
          </w:p>
        </w:tc>
        <w:tc>
          <w:tcPr>
            <w:tcW w:w="4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5</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5</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方正仿宋_GBK" w:cs="方正小标宋_GBK"/>
                <w:sz w:val="22"/>
                <w:szCs w:val="22"/>
                <w:highlight w:val="none"/>
                <w:shd w:val="clear" w:color="auto" w:fill="FFFFFF"/>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32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5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11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辖区生产生活环境安定有序</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定性</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优</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1</w:t>
            </w:r>
          </w:p>
        </w:tc>
        <w:tc>
          <w:tcPr>
            <w:tcW w:w="4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10</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10</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方正仿宋_GBK" w:cs="方正小标宋_GBK"/>
                <w:sz w:val="22"/>
                <w:szCs w:val="22"/>
                <w:highlight w:val="none"/>
                <w:shd w:val="clear" w:color="auto" w:fill="FFFFFF"/>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32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5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11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保障改善民生</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定性</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优</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1</w:t>
            </w:r>
          </w:p>
        </w:tc>
        <w:tc>
          <w:tcPr>
            <w:tcW w:w="4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5</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5</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方正仿宋_GBK" w:cs="方正小标宋_GBK"/>
                <w:sz w:val="22"/>
                <w:szCs w:val="22"/>
                <w:highlight w:val="none"/>
                <w:shd w:val="clear" w:color="auto" w:fill="FFFFFF"/>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32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5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11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基本公共卫生服务居民知晓率</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90</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90</w:t>
            </w:r>
          </w:p>
        </w:tc>
        <w:tc>
          <w:tcPr>
            <w:tcW w:w="4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5</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5</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方正仿宋_GBK" w:cs="方正小标宋_GBK"/>
                <w:sz w:val="22"/>
                <w:szCs w:val="22"/>
                <w:highlight w:val="none"/>
                <w:shd w:val="clear" w:color="auto" w:fill="FFFFFF"/>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32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5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11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居民健康素养水平</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90</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90</w:t>
            </w:r>
          </w:p>
        </w:tc>
        <w:tc>
          <w:tcPr>
            <w:tcW w:w="4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5</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5</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方正仿宋_GBK" w:cs="方正小标宋_GBK"/>
                <w:sz w:val="22"/>
                <w:szCs w:val="22"/>
                <w:highlight w:val="none"/>
                <w:shd w:val="clear" w:color="auto" w:fill="FFFFFF"/>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32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5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11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民生福祉增强</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定性</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优</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1</w:t>
            </w:r>
          </w:p>
        </w:tc>
        <w:tc>
          <w:tcPr>
            <w:tcW w:w="4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5</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5</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方正仿宋_GBK" w:cs="方正小标宋_GBK"/>
                <w:sz w:val="22"/>
                <w:szCs w:val="22"/>
                <w:highlight w:val="none"/>
                <w:shd w:val="clear" w:color="auto" w:fill="FFFFFF"/>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32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5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11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污染防治有力，水质达标率</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90</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90</w:t>
            </w:r>
          </w:p>
        </w:tc>
        <w:tc>
          <w:tcPr>
            <w:tcW w:w="4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5</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5</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方正仿宋_GBK" w:cs="方正小标宋_GBK"/>
                <w:sz w:val="22"/>
                <w:szCs w:val="22"/>
                <w:highlight w:val="none"/>
                <w:shd w:val="clear" w:color="auto" w:fill="FFFFFF"/>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32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5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11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政务服务满意度</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98</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98</w:t>
            </w:r>
          </w:p>
        </w:tc>
        <w:tc>
          <w:tcPr>
            <w:tcW w:w="4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5</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5</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方正仿宋_GBK" w:cs="方正小标宋_GBK"/>
                <w:sz w:val="22"/>
                <w:szCs w:val="22"/>
                <w:highlight w:val="none"/>
                <w:shd w:val="clear" w:color="auto" w:fill="FFFFFF"/>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32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5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11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辖区居民满意度</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95</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95</w:t>
            </w:r>
          </w:p>
        </w:tc>
        <w:tc>
          <w:tcPr>
            <w:tcW w:w="4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5</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5</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方正仿宋_GBK" w:cs="方正小标宋_GBK"/>
                <w:sz w:val="22"/>
                <w:szCs w:val="22"/>
                <w:highlight w:val="none"/>
                <w:shd w:val="clear" w:color="auto" w:fill="FFFFFF"/>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32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3</w:t>
            </w:r>
          </w:p>
        </w:tc>
        <w:tc>
          <w:tcPr>
            <w:tcW w:w="51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 xml:space="preserve">城镇维护及管理支出 </w:t>
            </w:r>
          </w:p>
        </w:tc>
        <w:tc>
          <w:tcPr>
            <w:tcW w:w="11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220" w:firstLineChars="100"/>
              <w:jc w:val="left"/>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劳务派遣人数</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人次</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107</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107</w:t>
            </w:r>
          </w:p>
        </w:tc>
        <w:tc>
          <w:tcPr>
            <w:tcW w:w="4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10</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10</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方正仿宋_GBK" w:cs="方正小标宋_GBK"/>
                <w:sz w:val="22"/>
                <w:szCs w:val="22"/>
                <w:highlight w:val="none"/>
                <w:shd w:val="clear" w:color="auto" w:fill="FFFFFF"/>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32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5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11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220" w:firstLineChars="100"/>
              <w:jc w:val="left"/>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日处理生活垃圾</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吨</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10</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10</w:t>
            </w:r>
          </w:p>
        </w:tc>
        <w:tc>
          <w:tcPr>
            <w:tcW w:w="4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10</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10</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方正仿宋_GBK" w:cs="方正小标宋_GBK"/>
                <w:sz w:val="22"/>
                <w:szCs w:val="22"/>
                <w:highlight w:val="none"/>
                <w:shd w:val="clear" w:color="auto" w:fill="FFFFFF"/>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32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5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11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220" w:firstLineChars="100"/>
              <w:jc w:val="left"/>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综合执法巡查频率</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天/月</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25</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25</w:t>
            </w:r>
          </w:p>
        </w:tc>
        <w:tc>
          <w:tcPr>
            <w:tcW w:w="4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10</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10</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方正仿宋_GBK" w:cs="方正小标宋_GBK"/>
                <w:sz w:val="22"/>
                <w:szCs w:val="22"/>
                <w:highlight w:val="none"/>
                <w:shd w:val="clear" w:color="auto" w:fill="FFFFFF"/>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32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5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11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220" w:firstLineChars="100"/>
              <w:jc w:val="left"/>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附属设施完好率</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90</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90</w:t>
            </w:r>
          </w:p>
        </w:tc>
        <w:tc>
          <w:tcPr>
            <w:tcW w:w="4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10</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10</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方正仿宋_GBK" w:cs="方正小标宋_GBK"/>
                <w:sz w:val="22"/>
                <w:szCs w:val="22"/>
                <w:highlight w:val="none"/>
                <w:shd w:val="clear" w:color="auto" w:fill="FFFFFF"/>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32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5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11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220" w:firstLineChars="100"/>
              <w:jc w:val="left"/>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卫生城市巩固专家评审通过率</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95</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95</w:t>
            </w:r>
          </w:p>
        </w:tc>
        <w:tc>
          <w:tcPr>
            <w:tcW w:w="4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5</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5</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方正仿宋_GBK" w:cs="方正小标宋_GBK"/>
                <w:sz w:val="22"/>
                <w:szCs w:val="22"/>
                <w:highlight w:val="none"/>
                <w:shd w:val="clear" w:color="auto" w:fill="FFFFFF"/>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32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5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11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220" w:firstLineChars="100"/>
              <w:jc w:val="left"/>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垃圾处置及时率</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98</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98</w:t>
            </w:r>
          </w:p>
        </w:tc>
        <w:tc>
          <w:tcPr>
            <w:tcW w:w="4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10</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10</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方正仿宋_GBK" w:cs="方正小标宋_GBK"/>
                <w:sz w:val="22"/>
                <w:szCs w:val="22"/>
                <w:highlight w:val="none"/>
                <w:shd w:val="clear" w:color="auto" w:fill="FFFFFF"/>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3" w:hRule="atLeast"/>
        </w:trPr>
        <w:tc>
          <w:tcPr>
            <w:tcW w:w="32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5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11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218" w:leftChars="91" w:firstLine="0" w:firstLineChars="0"/>
              <w:jc w:val="left"/>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城市垃圾三扫一清，无存量垃圾，环境整洁，管理有序，设施完善</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90</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90</w:t>
            </w:r>
          </w:p>
        </w:tc>
        <w:tc>
          <w:tcPr>
            <w:tcW w:w="4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5</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5</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方正仿宋_GBK" w:cs="方正小标宋_GBK"/>
                <w:sz w:val="22"/>
                <w:szCs w:val="22"/>
                <w:highlight w:val="none"/>
                <w:shd w:val="clear" w:color="auto" w:fill="FFFFFF"/>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32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5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11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218" w:leftChars="91" w:firstLine="0" w:firstLineChars="0"/>
              <w:jc w:val="left"/>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城市干净、市场环境有序，经济发展良好</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定性</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好</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1</w:t>
            </w:r>
          </w:p>
        </w:tc>
        <w:tc>
          <w:tcPr>
            <w:tcW w:w="4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10</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10</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方正仿宋_GBK" w:cs="方正小标宋_GBK"/>
                <w:sz w:val="22"/>
                <w:szCs w:val="22"/>
                <w:highlight w:val="none"/>
                <w:shd w:val="clear" w:color="auto" w:fill="FFFFFF"/>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32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5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11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220" w:firstLineChars="100"/>
              <w:jc w:val="left"/>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农村社区垃圾治理覆盖率</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98</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98</w:t>
            </w:r>
          </w:p>
        </w:tc>
        <w:tc>
          <w:tcPr>
            <w:tcW w:w="4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5</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5</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方正仿宋_GBK" w:cs="方正小标宋_GBK"/>
                <w:sz w:val="22"/>
                <w:szCs w:val="22"/>
                <w:highlight w:val="none"/>
                <w:shd w:val="clear" w:color="auto" w:fill="FFFFFF"/>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32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5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11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220" w:firstLineChars="100"/>
              <w:jc w:val="left"/>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绿色健康，文明环保，舒适便捷</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定性</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好</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1</w:t>
            </w:r>
          </w:p>
        </w:tc>
        <w:tc>
          <w:tcPr>
            <w:tcW w:w="4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10</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10</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方正仿宋_GBK" w:cs="方正小标宋_GBK"/>
                <w:sz w:val="22"/>
                <w:szCs w:val="22"/>
                <w:highlight w:val="none"/>
                <w:shd w:val="clear" w:color="auto" w:fill="FFFFFF"/>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32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5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11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220" w:firstLineChars="100"/>
              <w:jc w:val="left"/>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人居环境整洁，群众满意度高</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98</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98</w:t>
            </w:r>
          </w:p>
        </w:tc>
        <w:tc>
          <w:tcPr>
            <w:tcW w:w="4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5</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5</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方正仿宋_GBK" w:cs="方正小标宋_GBK"/>
                <w:sz w:val="22"/>
                <w:szCs w:val="22"/>
                <w:highlight w:val="none"/>
                <w:shd w:val="clear" w:color="auto" w:fill="FFFFFF"/>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32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4</w:t>
            </w:r>
          </w:p>
        </w:tc>
        <w:tc>
          <w:tcPr>
            <w:tcW w:w="51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选调生到村工作补助资金</w:t>
            </w:r>
          </w:p>
        </w:tc>
        <w:tc>
          <w:tcPr>
            <w:tcW w:w="11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安排选调生数</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人</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1</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1</w:t>
            </w:r>
          </w:p>
        </w:tc>
        <w:tc>
          <w:tcPr>
            <w:tcW w:w="4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20</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20</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方正仿宋_GBK" w:cs="方正小标宋_GBK"/>
                <w:sz w:val="22"/>
                <w:szCs w:val="22"/>
                <w:highlight w:val="none"/>
                <w:shd w:val="clear" w:color="auto" w:fill="FFFFFF"/>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32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51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11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选调生开展教育培训次数</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次/年</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2</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2</w:t>
            </w:r>
          </w:p>
        </w:tc>
        <w:tc>
          <w:tcPr>
            <w:tcW w:w="4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20</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20</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方正仿宋_GBK" w:cs="方正小标宋_GBK"/>
                <w:sz w:val="22"/>
                <w:szCs w:val="22"/>
                <w:highlight w:val="none"/>
                <w:shd w:val="clear" w:color="auto" w:fill="FFFFFF"/>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32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51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11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走访联系服务群众次数</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次/年</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10</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10</w:t>
            </w:r>
          </w:p>
        </w:tc>
        <w:tc>
          <w:tcPr>
            <w:tcW w:w="4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20</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20</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方正仿宋_GBK" w:cs="方正小标宋_GBK"/>
                <w:sz w:val="22"/>
                <w:szCs w:val="22"/>
                <w:highlight w:val="none"/>
                <w:shd w:val="clear" w:color="auto" w:fill="FFFFFF"/>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32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51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11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218" w:leftChars="91" w:firstLine="0" w:firstLineChars="0"/>
              <w:jc w:val="left"/>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激励选调生到基层磨练成长，推动基层事业发展</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定性</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好</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1</w:t>
            </w:r>
          </w:p>
        </w:tc>
        <w:tc>
          <w:tcPr>
            <w:tcW w:w="4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20</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20</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方正仿宋_GBK" w:cs="方正小标宋_GBK"/>
                <w:sz w:val="22"/>
                <w:szCs w:val="22"/>
                <w:highlight w:val="none"/>
                <w:shd w:val="clear" w:color="auto" w:fill="FFFFFF"/>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32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51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imes New Roman" w:hAnsi="Times New Roman" w:eastAsia="方正仿宋_GBK" w:cs="方正小标宋_GBK"/>
                <w:sz w:val="22"/>
                <w:szCs w:val="22"/>
                <w:highlight w:val="none"/>
                <w:shd w:val="clear" w:color="auto" w:fill="FFFFFF"/>
                <w:lang w:val="en-US" w:eastAsia="zh-CN" w:bidi="ar"/>
              </w:rPr>
            </w:pPr>
          </w:p>
        </w:tc>
        <w:tc>
          <w:tcPr>
            <w:tcW w:w="11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100"/>
              <w:jc w:val="left"/>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群众满意度</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90</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91</w:t>
            </w:r>
          </w:p>
        </w:tc>
        <w:tc>
          <w:tcPr>
            <w:tcW w:w="4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10</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方正仿宋_GBK" w:cs="方正小标宋_GBK"/>
                <w:sz w:val="22"/>
                <w:szCs w:val="22"/>
                <w:highlight w:val="none"/>
                <w:shd w:val="clear" w:color="auto" w:fill="FFFFFF"/>
                <w:lang w:val="en-US" w:eastAsia="zh-CN" w:bidi="ar"/>
              </w:rPr>
            </w:pPr>
            <w:r>
              <w:rPr>
                <w:rFonts w:hint="eastAsia" w:ascii="Times New Roman" w:hAnsi="Times New Roman" w:eastAsia="方正仿宋_GBK" w:cs="方正小标宋_GBK"/>
                <w:sz w:val="22"/>
                <w:szCs w:val="22"/>
                <w:highlight w:val="none"/>
                <w:shd w:val="clear" w:color="auto" w:fill="FFFFFF"/>
                <w:lang w:val="en-US" w:eastAsia="zh-CN" w:bidi="ar"/>
              </w:rPr>
              <w:t>10</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方正仿宋_GBK" w:cs="方正小标宋_GBK"/>
                <w:sz w:val="22"/>
                <w:szCs w:val="22"/>
                <w:highlight w:val="none"/>
                <w:shd w:val="clear" w:color="auto" w:fill="FFFFFF"/>
                <w:lang w:val="en-US" w:eastAsia="zh-CN" w:bidi="ar"/>
              </w:rPr>
            </w:pPr>
          </w:p>
        </w:tc>
      </w:tr>
    </w:tbl>
    <w:p>
      <w:pPr>
        <w:pStyle w:val="11"/>
        <w:autoSpaceDE w:val="0"/>
        <w:spacing w:before="0" w:beforeAutospacing="0" w:line="600" w:lineRule="exact"/>
        <w:ind w:firstLine="562" w:firstLineChars="200"/>
        <w:rPr>
          <w:rFonts w:hint="eastAsia" w:ascii="宋体" w:hAnsi="宋体" w:eastAsia="宋体" w:cs="宋体"/>
          <w:b/>
          <w:bCs/>
          <w:i w:val="0"/>
          <w:iCs w:val="0"/>
          <w:color w:val="000000"/>
          <w:kern w:val="0"/>
          <w:sz w:val="28"/>
          <w:szCs w:val="28"/>
          <w:u w:val="none"/>
          <w:lang w:val="en-US" w:eastAsia="zh-CN" w:bidi="ar"/>
        </w:rPr>
      </w:pPr>
    </w:p>
    <w:p>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（二）部门绩效评价情况</w:t>
      </w:r>
    </w:p>
    <w:p>
      <w:pPr>
        <w:pStyle w:val="5"/>
        <w:shd w:val="clear" w:color="auto" w:fill="FFFFFF"/>
        <w:ind w:firstLine="640" w:firstLineChars="200"/>
        <w:rPr>
          <w:rFonts w:hint="eastAsia" w:ascii="方正仿宋_GBK" w:hAnsi="方正仿宋_GBK" w:eastAsia="方正仿宋_GBK" w:cs="方正仿宋_GBK"/>
          <w:sz w:val="32"/>
          <w:szCs w:val="32"/>
          <w:shd w:val="clear" w:color="auto" w:fill="FFFFFF"/>
          <w:lang w:bidi="ar"/>
        </w:rPr>
      </w:pPr>
      <w:r>
        <w:rPr>
          <w:rFonts w:hint="eastAsia" w:ascii="方正仿宋_GBK" w:hAnsi="方正仿宋_GBK" w:eastAsia="方正仿宋_GBK" w:cs="方正仿宋_GBK"/>
          <w:sz w:val="32"/>
          <w:szCs w:val="32"/>
          <w:shd w:val="clear" w:color="auto" w:fill="FFFFFF"/>
          <w:lang w:bidi="ar"/>
        </w:rPr>
        <w:t>我单位202</w:t>
      </w:r>
      <w:r>
        <w:rPr>
          <w:rFonts w:hint="eastAsia" w:ascii="方正仿宋_GBK" w:hAnsi="方正仿宋_GBK" w:eastAsia="方正仿宋_GBK" w:cs="方正仿宋_GBK"/>
          <w:sz w:val="32"/>
          <w:szCs w:val="32"/>
          <w:shd w:val="clear" w:color="auto" w:fill="FFFFFF"/>
          <w:lang w:val="en-US" w:eastAsia="zh-CN" w:bidi="ar"/>
        </w:rPr>
        <w:t>4</w:t>
      </w:r>
      <w:r>
        <w:rPr>
          <w:rFonts w:hint="eastAsia" w:ascii="方正仿宋_GBK" w:hAnsi="方正仿宋_GBK" w:eastAsia="方正仿宋_GBK" w:cs="方正仿宋_GBK"/>
          <w:sz w:val="32"/>
          <w:szCs w:val="32"/>
          <w:shd w:val="clear" w:color="auto" w:fill="FFFFFF"/>
          <w:lang w:bidi="ar"/>
        </w:rPr>
        <w:t>年未对项目开展绩效评价。</w:t>
      </w:r>
    </w:p>
    <w:p>
      <w:pPr>
        <w:pStyle w:val="5"/>
        <w:shd w:val="clear" w:color="auto" w:fill="FFFFFF"/>
        <w:rPr>
          <w:rStyle w:val="9"/>
          <w:rFonts w:hint="eastAsia" w:ascii="方正仿宋_GBK" w:hAnsi="方正仿宋_GBK" w:eastAsia="方正仿宋_GBK" w:cs="方正仿宋_GBK"/>
          <w:sz w:val="32"/>
          <w:szCs w:val="32"/>
          <w:shd w:val="clear" w:color="auto" w:fill="FFFFFF"/>
          <w:lang w:val="en-US" w:eastAsia="zh-CN"/>
        </w:rPr>
      </w:pPr>
      <w:r>
        <w:rPr>
          <w:rStyle w:val="9"/>
          <w:rFonts w:hint="eastAsia" w:ascii="方正仿宋_GBK" w:hAnsi="方正仿宋_GBK" w:eastAsia="方正仿宋_GBK" w:cs="方正仿宋_GBK"/>
          <w:sz w:val="32"/>
          <w:szCs w:val="32"/>
          <w:shd w:val="clear" w:color="auto" w:fill="FFFFFF"/>
          <w:lang w:val="en-US" w:eastAsia="zh-CN"/>
        </w:rPr>
        <w:t xml:space="preserve">  </w:t>
      </w:r>
      <w:r>
        <w:rPr>
          <w:rStyle w:val="9"/>
          <w:rFonts w:hint="eastAsia" w:ascii="黑体" w:hAnsi="黑体" w:eastAsia="黑体" w:cs="黑体"/>
          <w:sz w:val="32"/>
          <w:szCs w:val="32"/>
          <w:shd w:val="clear" w:color="auto" w:fill="FFFFFF"/>
          <w:lang w:val="en-US" w:eastAsia="zh-CN"/>
        </w:rPr>
        <w:t>六、专业名词解释</w:t>
      </w:r>
    </w:p>
    <w:p>
      <w:pPr>
        <w:pStyle w:val="5"/>
        <w:snapToGrid w:val="0"/>
        <w:spacing w:before="0" w:beforeAutospacing="0" w:after="0" w:afterAutospacing="0" w:line="600" w:lineRule="exact"/>
        <w:ind w:firstLine="640" w:firstLineChars="200"/>
        <w:jc w:val="both"/>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shd w:val="clear" w:color="auto" w:fill="FFFFFF"/>
        </w:rPr>
        <w:t>以下为常见专业名词解释目录，仅供参考，</w:t>
      </w:r>
    </w:p>
    <w:p>
      <w:pPr>
        <w:pStyle w:val="5"/>
        <w:snapToGrid w:val="0"/>
        <w:spacing w:before="0" w:beforeAutospacing="0" w:after="0" w:afterAutospacing="0" w:line="600" w:lineRule="exact"/>
        <w:ind w:firstLine="642" w:firstLineChars="200"/>
        <w:jc w:val="both"/>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kern w:val="0"/>
          <w:sz w:val="32"/>
          <w:szCs w:val="32"/>
          <w:shd w:val="clear" w:color="auto" w:fill="FFFFFF"/>
          <w:lang w:val="en-US" w:eastAsia="zh-CN" w:bidi="ar"/>
        </w:rPr>
        <w:t> </w:t>
      </w:r>
      <w:r>
        <w:rPr>
          <w:rFonts w:hint="eastAsia" w:ascii="楷体" w:hAnsi="楷体" w:eastAsia="楷体" w:cs="楷体"/>
          <w:b/>
          <w:bCs/>
          <w:kern w:val="0"/>
          <w:sz w:val="32"/>
          <w:szCs w:val="32"/>
          <w:shd w:val="clear" w:color="auto" w:fill="FFFFFF"/>
          <w:lang w:val="en-US" w:eastAsia="zh-CN" w:bidi="ar"/>
        </w:rPr>
        <w:t>（一）财政拨款收入：</w:t>
      </w:r>
      <w:r>
        <w:rPr>
          <w:rFonts w:hint="eastAsia" w:ascii="方正仿宋_GBK" w:hAnsi="方正仿宋_GBK" w:eastAsia="方正仿宋_GBK" w:cs="方正仿宋_GBK"/>
          <w:sz w:val="32"/>
          <w:szCs w:val="32"/>
          <w:shd w:val="clear" w:color="auto" w:fill="FFFFFF"/>
        </w:rPr>
        <w:t>指本年度从本级财政部门取得的财政拨款，包括一般公共预算财政拨款和政府性基金预算财政拨款。</w:t>
      </w:r>
    </w:p>
    <w:p>
      <w:pPr>
        <w:pStyle w:val="5"/>
        <w:snapToGrid w:val="0"/>
        <w:spacing w:before="0" w:beforeAutospacing="0" w:after="0" w:afterAutospacing="0" w:line="600" w:lineRule="exact"/>
        <w:ind w:firstLine="642"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（二）事业收入</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指事业单位开展专业业务活动及其辅助活动取得的现金流入；事业单位收到的财政专户实际核拨的教育收费等资金在此反映。</w:t>
      </w:r>
    </w:p>
    <w:p>
      <w:pPr>
        <w:pStyle w:val="5"/>
        <w:snapToGrid w:val="0"/>
        <w:spacing w:before="0" w:beforeAutospacing="0" w:after="0" w:afterAutospacing="0" w:line="600" w:lineRule="exact"/>
        <w:ind w:firstLine="642"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（三）经营收入</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指事业单位在专业业务活动及其辅助活动之外开展非独立核算经营活动取得的现金流入。</w:t>
      </w:r>
    </w:p>
    <w:p>
      <w:pPr>
        <w:pStyle w:val="5"/>
        <w:snapToGrid w:val="0"/>
        <w:spacing w:before="0" w:beforeAutospacing="0" w:after="0" w:afterAutospacing="0" w:line="600" w:lineRule="exact"/>
        <w:ind w:firstLine="642"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（四）其他收入</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pPr>
        <w:pStyle w:val="5"/>
        <w:snapToGrid w:val="0"/>
        <w:spacing w:before="0" w:beforeAutospacing="0" w:after="0" w:afterAutospacing="0" w:line="600" w:lineRule="exact"/>
        <w:ind w:firstLine="642" w:firstLineChars="200"/>
        <w:jc w:val="both"/>
        <w:rPr>
          <w:rFonts w:hint="eastAsia" w:ascii="方正仿宋_GBK" w:hAnsi="方正仿宋_GBK" w:eastAsia="方正仿宋_GBK" w:cs="方正仿宋_GBK"/>
          <w:sz w:val="32"/>
          <w:szCs w:val="32"/>
        </w:rPr>
      </w:pPr>
      <w:r>
        <w:rPr>
          <w:rStyle w:val="9"/>
          <w:rFonts w:hint="eastAsia" w:ascii="楷体" w:hAnsi="楷体" w:eastAsia="楷体" w:cs="楷体"/>
          <w:sz w:val="32"/>
          <w:szCs w:val="32"/>
          <w:shd w:val="clear" w:color="auto" w:fill="FFFFFF"/>
        </w:rPr>
        <w:t>（五）使用非财政拨款结余</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指单位在当年的“财政拨款收入”、“事业收入”、“经营收入”、“其他收入”等不足以安排当年支出的情况下，使用以前年度积累的非财政拨款结余弥补本年度收支缺口的资金。</w:t>
      </w:r>
    </w:p>
    <w:p>
      <w:pPr>
        <w:pStyle w:val="5"/>
        <w:snapToGrid w:val="0"/>
        <w:spacing w:before="0" w:beforeAutospacing="0" w:after="0" w:afterAutospacing="0" w:line="600" w:lineRule="exact"/>
        <w:ind w:firstLine="642"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（六）年初结转和结余</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指单位上年结转本年使用的基本支出结转、项目支出结转和结余、经营结余。</w:t>
      </w:r>
    </w:p>
    <w:p>
      <w:pPr>
        <w:pStyle w:val="5"/>
        <w:snapToGrid w:val="0"/>
        <w:spacing w:before="0" w:beforeAutospacing="0" w:after="0" w:afterAutospacing="0" w:line="600" w:lineRule="exact"/>
        <w:ind w:firstLine="642"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（七）结余分配</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指单位按照国家有关规定，缴纳所得税、提取专用基金、转入非财政拨款结余等当年结余的分配情况。</w:t>
      </w:r>
    </w:p>
    <w:p>
      <w:pPr>
        <w:pStyle w:val="5"/>
        <w:snapToGrid w:val="0"/>
        <w:spacing w:before="0" w:beforeAutospacing="0" w:after="0" w:afterAutospacing="0" w:line="600" w:lineRule="exact"/>
        <w:ind w:firstLine="642"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（八）年末结转和结余</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指单位结转下年的基本支出结转、项目支出结转和结余、经营结余。</w:t>
      </w:r>
    </w:p>
    <w:p>
      <w:pPr>
        <w:pStyle w:val="5"/>
        <w:snapToGrid w:val="0"/>
        <w:spacing w:before="0" w:beforeAutospacing="0" w:after="0" w:afterAutospacing="0" w:line="600" w:lineRule="exact"/>
        <w:ind w:firstLine="642"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（九）基本支出</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pPr>
        <w:pStyle w:val="5"/>
        <w:snapToGrid w:val="0"/>
        <w:spacing w:before="0" w:beforeAutospacing="0" w:after="0" w:afterAutospacing="0" w:line="600" w:lineRule="exact"/>
        <w:ind w:firstLine="642"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（十）项目支出</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指在基本支出之外为完成特定行政任务和事业发展目标所发生的支出。</w:t>
      </w:r>
    </w:p>
    <w:p>
      <w:pPr>
        <w:pStyle w:val="5"/>
        <w:snapToGrid w:val="0"/>
        <w:spacing w:before="0" w:beforeAutospacing="0" w:after="0" w:afterAutospacing="0" w:line="600" w:lineRule="exact"/>
        <w:ind w:firstLine="642"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（十一）经营支出</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指事业单位在专业业务活动及其辅助活动之外开展非独立核算经营活动发生的支出。</w:t>
      </w:r>
    </w:p>
    <w:p>
      <w:pPr>
        <w:pStyle w:val="5"/>
        <w:snapToGrid w:val="0"/>
        <w:spacing w:before="0" w:beforeAutospacing="0" w:after="0" w:afterAutospacing="0" w:line="600" w:lineRule="exact"/>
        <w:ind w:firstLine="642"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（十二）“三公”经费</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pStyle w:val="5"/>
        <w:snapToGrid w:val="0"/>
        <w:spacing w:before="0" w:beforeAutospacing="0" w:after="0" w:afterAutospacing="0" w:line="600" w:lineRule="exact"/>
        <w:ind w:firstLine="642"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（十三）机关运行经费</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pPr>
        <w:pStyle w:val="5"/>
        <w:snapToGrid w:val="0"/>
        <w:spacing w:before="0" w:beforeAutospacing="0" w:after="0" w:afterAutospacing="0" w:line="600" w:lineRule="exact"/>
        <w:ind w:firstLine="642"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（十四）工资福利支出（支出经济分类科目类级）</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反映单位开支的在职职工和编制外长期聘用人员的各类劳动报酬，以及为上述人员缴纳的各项社会保险费等。</w:t>
      </w:r>
    </w:p>
    <w:p>
      <w:pPr>
        <w:pStyle w:val="5"/>
        <w:snapToGrid w:val="0"/>
        <w:spacing w:before="0" w:beforeAutospacing="0" w:after="0" w:afterAutospacing="0" w:line="600" w:lineRule="exact"/>
        <w:ind w:firstLine="642"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（十五）商品和服务支出（支出经济分类科目类级）</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反映单位购买商品和服务的支出（不包括用于购置固定资产的支出、战略性和应急储备支出）。</w:t>
      </w:r>
    </w:p>
    <w:p>
      <w:pPr>
        <w:pStyle w:val="5"/>
        <w:snapToGrid w:val="0"/>
        <w:spacing w:before="0" w:beforeAutospacing="0" w:after="0" w:afterAutospacing="0" w:line="600" w:lineRule="exact"/>
        <w:ind w:firstLine="642" w:firstLineChars="200"/>
        <w:jc w:val="both"/>
        <w:rPr>
          <w:rFonts w:hint="eastAsia" w:ascii="方正仿宋_GBK" w:hAnsi="方正仿宋_GBK" w:eastAsia="方正仿宋_GBK" w:cs="方正仿宋_GBK"/>
          <w:sz w:val="32"/>
          <w:szCs w:val="32"/>
        </w:rPr>
      </w:pPr>
      <w:r>
        <w:rPr>
          <w:rStyle w:val="9"/>
          <w:rFonts w:hint="eastAsia" w:ascii="楷体" w:hAnsi="楷体" w:eastAsia="楷体" w:cs="楷体"/>
          <w:sz w:val="32"/>
          <w:szCs w:val="32"/>
          <w:shd w:val="clear" w:color="auto" w:fill="FFFFFF"/>
        </w:rPr>
        <w:t> （十六）对个人和家庭的补助（支出经济分类科目类级）</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反映用于对个人和家庭的补助支出。</w:t>
      </w:r>
    </w:p>
    <w:p>
      <w:pPr>
        <w:pStyle w:val="5"/>
        <w:snapToGrid w:val="0"/>
        <w:spacing w:before="0" w:beforeAutospacing="0" w:after="0" w:afterAutospacing="0" w:line="600" w:lineRule="exact"/>
        <w:ind w:firstLine="642"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（十七）其他资本性支出（支出经济分类科目类级）</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反映非各级发展与改革部门集中安排的用于购置固定资产、战略性和应急性储备、土地和无形资产，以及构建基础设施、大型修缮和财政支持企业更新改造所发生的支出。</w:t>
      </w:r>
    </w:p>
    <w:p>
      <w:pPr>
        <w:pStyle w:val="5"/>
        <w:shd w:val="clear" w:color="auto" w:fill="FFFFFF"/>
        <w:rPr>
          <w:rStyle w:val="9"/>
          <w:rFonts w:hint="eastAsia" w:ascii="方正仿宋_GBK" w:hAnsi="方正仿宋_GBK" w:eastAsia="方正仿宋_GBK" w:cs="方正仿宋_GBK"/>
          <w:sz w:val="32"/>
          <w:szCs w:val="32"/>
          <w:shd w:val="clear" w:color="auto" w:fill="FFFFFF"/>
          <w:lang w:val="en-US" w:eastAsia="zh-CN"/>
        </w:rPr>
      </w:pPr>
      <w:r>
        <w:rPr>
          <w:rStyle w:val="9"/>
          <w:rFonts w:hint="eastAsia" w:ascii="方正仿宋_GBK" w:hAnsi="方正仿宋_GBK" w:eastAsia="方正仿宋_GBK" w:cs="方正仿宋_GBK"/>
          <w:sz w:val="32"/>
          <w:szCs w:val="32"/>
          <w:shd w:val="clear" w:color="auto" w:fill="FFFFFF"/>
          <w:lang w:val="en-US" w:eastAsia="zh-CN"/>
        </w:rPr>
        <w:t xml:space="preserve">  </w:t>
      </w:r>
      <w:r>
        <w:rPr>
          <w:rStyle w:val="9"/>
          <w:rFonts w:hint="eastAsia" w:ascii="黑体" w:hAnsi="黑体" w:eastAsia="黑体" w:cs="黑体"/>
          <w:sz w:val="32"/>
          <w:szCs w:val="32"/>
          <w:shd w:val="clear" w:color="auto" w:fill="FFFFFF"/>
          <w:lang w:val="en-US" w:eastAsia="zh-CN"/>
        </w:rPr>
        <w:t>七、决算公开联系方式及信息反馈渠道</w:t>
      </w:r>
    </w:p>
    <w:p>
      <w:pPr>
        <w:pStyle w:val="10"/>
        <w:autoSpaceDE w:val="0"/>
        <w:ind w:firstLine="640" w:firstLineChars="200"/>
        <w:rPr>
          <w:rStyle w:val="9"/>
          <w:rFonts w:ascii="方正仿宋_GBK" w:hAnsi="方正仿宋_GBK" w:eastAsia="方正仿宋_GBK" w:cs="方正仿宋_GBK"/>
          <w:sz w:val="32"/>
          <w:szCs w:val="32"/>
          <w:shd w:val="clear" w:color="auto" w:fill="FFFF00"/>
        </w:rPr>
      </w:pPr>
      <w:r>
        <w:rPr>
          <w:rFonts w:hint="eastAsia" w:ascii="方正仿宋_GBK" w:hAnsi="方正仿宋_GBK" w:eastAsia="方正仿宋_GBK" w:cs="方正仿宋_GBK"/>
          <w:sz w:val="32"/>
          <w:szCs w:val="32"/>
          <w:shd w:val="clear" w:color="auto" w:fill="FFFFFF"/>
        </w:rPr>
        <w:t>本单位决算公开信息反馈和联系方式：</w:t>
      </w:r>
      <w:r>
        <w:rPr>
          <w:rFonts w:hint="eastAsia" w:ascii="方正仿宋_GBK" w:hAnsi="方正仿宋_GBK" w:eastAsia="方正仿宋_GBK" w:cs="方正仿宋_GBK"/>
          <w:color w:val="auto"/>
          <w:sz w:val="32"/>
          <w:szCs w:val="32"/>
          <w:shd w:val="clear" w:color="auto" w:fill="FFFFFF"/>
        </w:rPr>
        <w:t>023-79235228</w:t>
      </w:r>
      <w:r>
        <w:rPr>
          <w:rFonts w:hint="eastAsia" w:ascii="方正仿宋_GBK" w:hAnsi="方正仿宋_GBK" w:eastAsia="方正仿宋_GBK" w:cs="方正仿宋_GBK"/>
          <w:color w:val="auto"/>
          <w:sz w:val="32"/>
          <w:szCs w:val="32"/>
          <w:shd w:val="clear" w:color="auto" w:fill="FFFFFF"/>
          <w:lang w:eastAsia="zh-CN"/>
        </w:rPr>
        <w:t>。</w:t>
      </w:r>
    </w:p>
    <w:p>
      <w:pPr>
        <w:pStyle w:val="10"/>
        <w:autoSpaceDE w:val="0"/>
        <w:ind w:firstLine="0" w:firstLineChars="0"/>
        <w:rPr>
          <w:rStyle w:val="9"/>
          <w:rFonts w:ascii="方正仿宋_GBK" w:hAnsi="方正仿宋_GBK" w:eastAsia="方正仿宋_GBK" w:cs="方正仿宋_GBK"/>
          <w:sz w:val="32"/>
          <w:szCs w:val="32"/>
          <w:shd w:val="clear" w:color="auto" w:fill="FFFF00"/>
        </w:rPr>
      </w:pPr>
    </w:p>
    <w:p>
      <w:pPr>
        <w:keepNext w:val="0"/>
        <w:keepLines w:val="0"/>
        <w:pageBreakBefore w:val="0"/>
        <w:widowControl/>
        <w:kinsoku/>
        <w:wordWrap/>
        <w:overflowPunct/>
        <w:topLinePunct w:val="0"/>
        <w:autoSpaceDE w:val="0"/>
        <w:autoSpaceDN/>
        <w:bidi w:val="0"/>
        <w:adjustRightInd/>
        <w:snapToGrid/>
        <w:spacing w:beforeAutospacing="0" w:afterAutospacing="0" w:line="600" w:lineRule="exact"/>
        <w:jc w:val="left"/>
        <w:textAlignment w:val="auto"/>
        <w:outlineLvl w:val="0"/>
        <w:rPr>
          <w:rFonts w:hint="default" w:ascii="Times New Roman" w:hAnsi="Times New Roman" w:eastAsia="方正仿宋_GBK" w:cs="Times New Roman"/>
          <w:b w:val="0"/>
          <w:bCs w:val="0"/>
          <w:kern w:val="0"/>
          <w:sz w:val="32"/>
          <w:szCs w:val="32"/>
          <w:shd w:val="clear" w:color="auto" w:fill="FFFFFF"/>
          <w:lang w:val="en-US" w:eastAsia="zh-CN" w:bidi="ar-SA"/>
        </w:rPr>
      </w:pPr>
      <w:r>
        <w:rPr>
          <w:rFonts w:hint="default" w:ascii="Times New Roman" w:hAnsi="Times New Roman" w:eastAsia="方正仿宋_GBK" w:cs="Times New Roman"/>
          <w:b w:val="0"/>
          <w:bCs w:val="0"/>
          <w:kern w:val="0"/>
          <w:sz w:val="32"/>
          <w:szCs w:val="32"/>
          <w:shd w:val="clear" w:color="auto" w:fill="FFFFFF"/>
          <w:lang w:val="en-US" w:eastAsia="zh-CN" w:bidi="ar-SA"/>
        </w:rPr>
        <w:t>附件1</w:t>
      </w:r>
      <w:r>
        <w:rPr>
          <w:rFonts w:hint="eastAsia" w:ascii="Times New Roman" w:hAnsi="Times New Roman" w:eastAsia="方正仿宋_GBK" w:cs="Times New Roman"/>
          <w:b w:val="0"/>
          <w:bCs w:val="0"/>
          <w:kern w:val="0"/>
          <w:sz w:val="32"/>
          <w:szCs w:val="32"/>
          <w:shd w:val="clear" w:color="auto" w:fill="FFFFFF"/>
          <w:lang w:val="en-US" w:eastAsia="zh-CN" w:bidi="ar-SA"/>
        </w:rPr>
        <w:t>：</w:t>
      </w:r>
      <w:r>
        <w:rPr>
          <w:rFonts w:hint="default" w:ascii="Times New Roman" w:hAnsi="Times New Roman" w:eastAsia="方正仿宋_GBK" w:cs="Times New Roman"/>
          <w:b w:val="0"/>
          <w:bCs w:val="0"/>
          <w:kern w:val="0"/>
          <w:sz w:val="32"/>
          <w:szCs w:val="32"/>
          <w:shd w:val="clear" w:color="auto" w:fill="FFFFFF"/>
          <w:lang w:val="en-US" w:eastAsia="zh-CN" w:bidi="ar-SA"/>
        </w:rPr>
        <w:t>城东街道办事处</w:t>
      </w:r>
      <w:r>
        <w:rPr>
          <w:rFonts w:hint="eastAsia" w:ascii="Times New Roman" w:hAnsi="Times New Roman" w:eastAsia="方正仿宋_GBK" w:cs="Times New Roman"/>
          <w:b w:val="0"/>
          <w:bCs w:val="0"/>
          <w:kern w:val="0"/>
          <w:sz w:val="32"/>
          <w:szCs w:val="32"/>
          <w:shd w:val="clear" w:color="auto" w:fill="FFFFFF"/>
          <w:lang w:val="en-US" w:eastAsia="zh-CN" w:bidi="ar-SA"/>
        </w:rPr>
        <w:t>2024年度</w:t>
      </w:r>
      <w:r>
        <w:rPr>
          <w:rFonts w:hint="default" w:ascii="Times New Roman" w:hAnsi="Times New Roman" w:eastAsia="方正仿宋_GBK" w:cs="Times New Roman"/>
          <w:b w:val="0"/>
          <w:bCs w:val="0"/>
          <w:kern w:val="0"/>
          <w:sz w:val="32"/>
          <w:szCs w:val="32"/>
          <w:shd w:val="clear" w:color="auto" w:fill="FFFFFF"/>
          <w:lang w:val="en-US" w:eastAsia="zh-CN" w:bidi="ar-SA"/>
        </w:rPr>
        <w:t>部门整体绩效自评表</w:t>
      </w:r>
    </w:p>
    <w:p>
      <w:pPr>
        <w:keepNext w:val="0"/>
        <w:keepLines w:val="0"/>
        <w:pageBreakBefore w:val="0"/>
        <w:widowControl/>
        <w:kinsoku/>
        <w:wordWrap/>
        <w:overflowPunct/>
        <w:topLinePunct w:val="0"/>
        <w:autoSpaceDE w:val="0"/>
        <w:autoSpaceDN/>
        <w:bidi w:val="0"/>
        <w:adjustRightInd/>
        <w:snapToGrid/>
        <w:spacing w:beforeAutospacing="0" w:afterAutospacing="0" w:line="600" w:lineRule="exact"/>
        <w:jc w:val="both"/>
        <w:textAlignment w:val="auto"/>
        <w:outlineLvl w:val="0"/>
        <w:rPr>
          <w:rFonts w:hint="default" w:asciiTheme="minorHAnsi" w:hAnsiTheme="minorHAnsi" w:eastAsiaTheme="minorEastAsia" w:cstheme="minorBidi"/>
          <w:kern w:val="2"/>
          <w:sz w:val="21"/>
        </w:rPr>
      </w:pPr>
      <w:r>
        <w:rPr>
          <w:rFonts w:hint="default" w:ascii="Times New Roman" w:hAnsi="Times New Roman" w:eastAsia="方正仿宋_GBK" w:cs="Times New Roman"/>
          <w:b w:val="0"/>
          <w:bCs w:val="0"/>
          <w:kern w:val="0"/>
          <w:sz w:val="32"/>
          <w:szCs w:val="32"/>
          <w:shd w:val="clear" w:color="auto" w:fill="FFFFFF"/>
          <w:lang w:val="en-US" w:eastAsia="zh-CN" w:bidi="ar-SA"/>
        </w:rPr>
        <w:t>附件2</w:t>
      </w:r>
      <w:r>
        <w:rPr>
          <w:rFonts w:hint="eastAsia" w:ascii="Times New Roman" w:hAnsi="Times New Roman" w:eastAsia="方正仿宋_GBK" w:cs="Times New Roman"/>
          <w:b w:val="0"/>
          <w:bCs w:val="0"/>
          <w:kern w:val="0"/>
          <w:sz w:val="32"/>
          <w:szCs w:val="32"/>
          <w:shd w:val="clear" w:color="auto" w:fill="FFFFFF"/>
          <w:lang w:val="en-US" w:eastAsia="zh-CN" w:bidi="ar-SA"/>
        </w:rPr>
        <w:t>：</w:t>
      </w:r>
      <w:r>
        <w:rPr>
          <w:rFonts w:hint="default" w:ascii="Times New Roman" w:hAnsi="Times New Roman" w:eastAsia="方正仿宋_GBK" w:cs="Times New Roman"/>
          <w:b w:val="0"/>
          <w:bCs w:val="0"/>
          <w:kern w:val="0"/>
          <w:sz w:val="32"/>
          <w:szCs w:val="32"/>
          <w:shd w:val="clear" w:color="auto" w:fill="FFFFFF"/>
          <w:lang w:val="en-US" w:eastAsia="zh-CN" w:bidi="ar-SA"/>
        </w:rPr>
        <w:t>城东街道办事处</w:t>
      </w:r>
      <w:r>
        <w:rPr>
          <w:rFonts w:hint="eastAsia" w:ascii="Times New Roman" w:hAnsi="Times New Roman" w:eastAsia="方正仿宋_GBK" w:cs="Times New Roman"/>
          <w:b w:val="0"/>
          <w:bCs w:val="0"/>
          <w:kern w:val="0"/>
          <w:sz w:val="32"/>
          <w:szCs w:val="32"/>
          <w:shd w:val="clear" w:color="auto" w:fill="FFFFFF"/>
          <w:lang w:val="en-US" w:eastAsia="zh-CN" w:bidi="ar-SA"/>
        </w:rPr>
        <w:t>2024年度</w:t>
      </w:r>
      <w:r>
        <w:rPr>
          <w:rFonts w:hint="default" w:ascii="Times New Roman" w:hAnsi="Times New Roman" w:eastAsia="方正仿宋_GBK" w:cs="Times New Roman"/>
          <w:b w:val="0"/>
          <w:bCs w:val="0"/>
          <w:kern w:val="0"/>
          <w:sz w:val="32"/>
          <w:szCs w:val="32"/>
          <w:shd w:val="clear" w:color="auto" w:fill="FFFFFF"/>
          <w:lang w:val="en-US" w:eastAsia="zh-CN" w:bidi="ar-SA"/>
        </w:rPr>
        <w:t>决算公</w:t>
      </w:r>
      <w:r>
        <w:rPr>
          <w:rFonts w:hint="eastAsia" w:ascii="Times New Roman" w:hAnsi="Times New Roman" w:eastAsia="方正仿宋_GBK" w:cs="Times New Roman"/>
          <w:b w:val="0"/>
          <w:bCs w:val="0"/>
          <w:kern w:val="0"/>
          <w:sz w:val="32"/>
          <w:szCs w:val="32"/>
          <w:shd w:val="clear" w:color="auto" w:fill="FFFFFF"/>
          <w:lang w:val="en-US" w:eastAsia="zh-CN" w:bidi="ar-SA"/>
        </w:rPr>
        <w:t>开报表</w:t>
      </w:r>
    </w:p>
    <w:p>
      <w:pPr>
        <w:autoSpaceDE w:val="0"/>
        <w:ind w:firstLine="0" w:firstLineChars="0"/>
        <w:rPr>
          <w:rStyle w:val="9"/>
          <w:rFonts w:hint="default" w:ascii="方正仿宋_GBK" w:hAnsi="方正仿宋_GBK" w:eastAsia="方正仿宋_GBK" w:cs="方正仿宋_GBK"/>
          <w:sz w:val="32"/>
          <w:szCs w:val="32"/>
          <w:shd w:val="clear" w:color="auto" w:fill="FFFF00"/>
          <w:lang w:val="en-US" w:eastAsia="zh-CN" w:bidi="ar-SA"/>
        </w:rPr>
      </w:pPr>
    </w:p>
    <w:p>
      <w:pPr>
        <w:pStyle w:val="10"/>
        <w:autoSpaceDE w:val="0"/>
        <w:ind w:firstLine="0" w:firstLineChars="0"/>
        <w:rPr>
          <w:rStyle w:val="9"/>
          <w:rFonts w:hint="eastAsia" w:ascii="方正仿宋_GBK" w:hAnsi="方正仿宋_GBK" w:eastAsia="方正仿宋_GBK" w:cs="方正仿宋_GBK"/>
          <w:sz w:val="32"/>
          <w:szCs w:val="32"/>
          <w:shd w:val="clear" w:color="auto" w:fill="FFFF00"/>
        </w:rPr>
        <w:sectPr>
          <w:footerReference r:id="rId3" w:type="default"/>
          <w:pgSz w:w="11915" w:h="16840"/>
          <w:pgMar w:top="1440" w:right="1800" w:bottom="1440" w:left="1800" w:header="851" w:footer="992" w:gutter="0"/>
          <w:pgNumType w:fmt="numberInDash"/>
          <w:cols w:space="720" w:num="1"/>
          <w:docGrid w:type="lines" w:linePitch="312" w:charSpace="0"/>
        </w:sectPr>
      </w:pPr>
    </w:p>
    <w:p>
      <w:pPr>
        <w:rPr>
          <w:rFonts w:hint="eastAsia" w:ascii="宋体" w:hAnsi="宋体" w:eastAsia="宋体" w:cs="宋体"/>
          <w:sz w:val="21"/>
          <w:szCs w:val="21"/>
        </w:rPr>
      </w:pPr>
    </w:p>
    <w:tbl>
      <w:tblPr>
        <w:tblStyle w:val="6"/>
        <w:tblW w:w="22292" w:type="dxa"/>
        <w:tblInd w:w="0" w:type="dxa"/>
        <w:shd w:val="clear" w:color="auto" w:fill="auto"/>
        <w:tblLayout w:type="fixed"/>
        <w:tblCellMar>
          <w:top w:w="0" w:type="dxa"/>
          <w:left w:w="0" w:type="dxa"/>
          <w:bottom w:w="0" w:type="dxa"/>
          <w:right w:w="0" w:type="dxa"/>
        </w:tblCellMar>
      </w:tblPr>
      <w:tblGrid>
        <w:gridCol w:w="6581"/>
        <w:gridCol w:w="4358"/>
        <w:gridCol w:w="7536"/>
        <w:gridCol w:w="3817"/>
      </w:tblGrid>
      <w:tr>
        <w:tblPrEx>
          <w:shd w:val="clear" w:color="auto" w:fill="auto"/>
          <w:tblCellMar>
            <w:top w:w="0" w:type="dxa"/>
            <w:left w:w="0" w:type="dxa"/>
            <w:bottom w:w="0" w:type="dxa"/>
            <w:right w:w="0" w:type="dxa"/>
          </w:tblCellMar>
        </w:tblPrEx>
        <w:trPr>
          <w:trHeight w:val="565" w:hRule="atLeast"/>
        </w:trPr>
        <w:tc>
          <w:tcPr>
            <w:tcW w:w="22292" w:type="dxa"/>
            <w:gridSpan w:val="4"/>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收入支出决算总表</w:t>
            </w:r>
          </w:p>
        </w:tc>
      </w:tr>
      <w:tr>
        <w:tblPrEx>
          <w:shd w:val="clear" w:color="auto" w:fill="auto"/>
          <w:tblCellMar>
            <w:top w:w="0" w:type="dxa"/>
            <w:left w:w="0" w:type="dxa"/>
            <w:bottom w:w="0" w:type="dxa"/>
            <w:right w:w="0" w:type="dxa"/>
          </w:tblCellMar>
        </w:tblPrEx>
        <w:trPr>
          <w:trHeight w:val="289" w:hRule="atLeast"/>
        </w:trPr>
        <w:tc>
          <w:tcPr>
            <w:tcW w:w="6581"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4358" w:type="dxa"/>
            <w:tcBorders>
              <w:top w:val="nil"/>
              <w:left w:val="nil"/>
              <w:bottom w:val="nil"/>
              <w:right w:val="nil"/>
            </w:tcBorders>
            <w:shd w:val="clear" w:color="auto" w:fill="auto"/>
            <w:noWrap/>
            <w:tcMar>
              <w:top w:w="15" w:type="dxa"/>
              <w:left w:w="15" w:type="dxa"/>
              <w:right w:w="15" w:type="dxa"/>
            </w:tcMar>
            <w:vAlign w:val="bottom"/>
          </w:tcPr>
          <w:p>
            <w:pPr>
              <w:jc w:val="right"/>
              <w:rPr>
                <w:rFonts w:hint="default" w:ascii="Arial" w:hAnsi="Arial" w:eastAsia="宋体" w:cs="Arial"/>
                <w:i w:val="0"/>
                <w:color w:val="000000"/>
                <w:sz w:val="20"/>
                <w:szCs w:val="20"/>
                <w:u w:val="none"/>
              </w:rPr>
            </w:pPr>
          </w:p>
        </w:tc>
        <w:tc>
          <w:tcPr>
            <w:tcW w:w="7536"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3817"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公开01表</w:t>
            </w:r>
          </w:p>
        </w:tc>
      </w:tr>
      <w:tr>
        <w:tblPrEx>
          <w:shd w:val="clear" w:color="auto" w:fill="auto"/>
          <w:tblCellMar>
            <w:top w:w="0" w:type="dxa"/>
            <w:left w:w="0" w:type="dxa"/>
            <w:bottom w:w="0" w:type="dxa"/>
            <w:right w:w="0" w:type="dxa"/>
          </w:tblCellMar>
        </w:tblPrEx>
        <w:trPr>
          <w:trHeight w:val="289" w:hRule="atLeast"/>
        </w:trPr>
        <w:tc>
          <w:tcPr>
            <w:tcW w:w="6581"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4"/>
                <w:szCs w:val="24"/>
                <w:u w:val="none"/>
              </w:rPr>
            </w:pPr>
            <w:r>
              <w:rPr>
                <w:rFonts w:hint="eastAsia" w:cs="宋体"/>
                <w:sz w:val="24"/>
                <w:szCs w:val="24"/>
                <w:lang w:eastAsia="zh-CN"/>
              </w:rPr>
              <w:t>公开单位</w:t>
            </w:r>
            <w:r>
              <w:rPr>
                <w:rFonts w:hint="eastAsia" w:ascii="宋体" w:hAnsi="宋体" w:eastAsia="宋体" w:cs="宋体"/>
                <w:sz w:val="24"/>
                <w:szCs w:val="24"/>
              </w:rPr>
              <w:t>：</w:t>
            </w:r>
            <w:r>
              <w:rPr>
                <w:rFonts w:ascii="宋体" w:hAnsi="宋体" w:eastAsia="宋体" w:cs="宋体"/>
                <w:sz w:val="24"/>
                <w:u w:color="auto"/>
              </w:rPr>
              <w:t>重庆市黔江区城东街道办事处（本级）</w:t>
            </w:r>
          </w:p>
        </w:tc>
        <w:tc>
          <w:tcPr>
            <w:tcW w:w="4358" w:type="dxa"/>
            <w:tcBorders>
              <w:top w:val="nil"/>
              <w:left w:val="nil"/>
              <w:bottom w:val="nil"/>
              <w:right w:val="nil"/>
            </w:tcBorders>
            <w:shd w:val="clear" w:color="auto" w:fill="auto"/>
            <w:noWrap/>
            <w:tcMar>
              <w:top w:w="15" w:type="dxa"/>
              <w:left w:w="15" w:type="dxa"/>
              <w:right w:w="15" w:type="dxa"/>
            </w:tcMar>
            <w:vAlign w:val="bottom"/>
          </w:tcPr>
          <w:p>
            <w:pPr>
              <w:jc w:val="right"/>
              <w:rPr>
                <w:rFonts w:hint="default" w:ascii="Arial" w:hAnsi="Arial" w:eastAsia="宋体" w:cs="Arial"/>
                <w:i w:val="0"/>
                <w:color w:val="000000"/>
                <w:sz w:val="22"/>
                <w:szCs w:val="22"/>
                <w:u w:val="none"/>
              </w:rPr>
            </w:pPr>
          </w:p>
        </w:tc>
        <w:tc>
          <w:tcPr>
            <w:tcW w:w="7536"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3817"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tblPrEx>
          <w:shd w:val="clear" w:color="auto" w:fill="auto"/>
          <w:tblCellMar>
            <w:top w:w="0" w:type="dxa"/>
            <w:left w:w="0" w:type="dxa"/>
            <w:bottom w:w="0" w:type="dxa"/>
            <w:right w:w="0" w:type="dxa"/>
          </w:tblCellMar>
        </w:tblPrEx>
        <w:trPr>
          <w:trHeight w:val="298" w:hRule="atLeast"/>
        </w:trPr>
        <w:tc>
          <w:tcPr>
            <w:tcW w:w="10939" w:type="dxa"/>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收入</w:t>
            </w:r>
          </w:p>
        </w:tc>
        <w:tc>
          <w:tcPr>
            <w:tcW w:w="11353" w:type="dxa"/>
            <w:gridSpan w:val="2"/>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支出</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4358"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lang w:eastAsia="zh-CN"/>
              </w:rPr>
            </w:pPr>
            <w:r>
              <w:rPr>
                <w:rFonts w:hint="eastAsia" w:cs="宋体"/>
                <w:b/>
                <w:i w:val="0"/>
                <w:color w:val="000000"/>
                <w:sz w:val="22"/>
                <w:szCs w:val="22"/>
                <w:u w:val="none"/>
                <w:lang w:eastAsia="zh-CN"/>
              </w:rPr>
              <w:t>功能分类科目</w:t>
            </w:r>
          </w:p>
        </w:tc>
        <w:tc>
          <w:tcPr>
            <w:tcW w:w="3817"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3,066.26</w:t>
            </w: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ascii="宋体" w:hAnsi="宋体" w:eastAsia="宋体" w:cs="宋体"/>
                <w:b w:val="0"/>
                <w:bCs w:val="0"/>
                <w:color w:val="000000"/>
                <w:sz w:val="21"/>
                <w:szCs w:val="21"/>
                <w:lang w:bidi="ar"/>
              </w:rPr>
              <w:t>1,105.11</w:t>
            </w: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171.66</w:t>
            </w: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ascii="宋体" w:hAnsi="宋体" w:eastAsia="宋体" w:cs="宋体"/>
                <w:b w:val="0"/>
                <w:bCs w:val="0"/>
                <w:color w:val="000000"/>
                <w:sz w:val="21"/>
                <w:szCs w:val="21"/>
                <w:lang w:bidi="ar"/>
              </w:rPr>
              <w:t>104.66</w:t>
            </w: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七、文化旅游体育与传媒支出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ascii="宋体" w:hAnsi="宋体" w:eastAsia="宋体" w:cs="宋体"/>
                <w:b w:val="0"/>
                <w:bCs w:val="0"/>
                <w:color w:val="000000"/>
                <w:sz w:val="21"/>
                <w:szCs w:val="21"/>
                <w:lang w:bidi="ar"/>
              </w:rPr>
              <w:t>2.27</w:t>
            </w: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4358" w:type="dxa"/>
            <w:tcBorders>
              <w:top w:val="nil"/>
              <w:left w:val="nil"/>
              <w:bottom w:val="nil"/>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八、社会保障和就业支出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ascii="宋体" w:hAnsi="宋体" w:eastAsia="宋体" w:cs="宋体"/>
                <w:b w:val="0"/>
                <w:bCs w:val="0"/>
                <w:color w:val="000000"/>
                <w:sz w:val="21"/>
                <w:szCs w:val="21"/>
                <w:lang w:bidi="ar"/>
              </w:rPr>
              <w:t>219.59</w:t>
            </w: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right"/>
              <w:rPr>
                <w:rFonts w:hint="default" w:ascii="Arial" w:hAnsi="Arial" w:eastAsia="宋体" w:cs="Arial"/>
                <w:i w:val="0"/>
                <w:color w:val="000000"/>
                <w:sz w:val="20"/>
                <w:szCs w:val="20"/>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九、卫生健康支出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ascii="宋体" w:hAnsi="宋体" w:eastAsia="宋体" w:cs="宋体"/>
                <w:b w:val="0"/>
                <w:bCs w:val="0"/>
                <w:color w:val="000000"/>
                <w:sz w:val="21"/>
                <w:szCs w:val="21"/>
                <w:lang w:bidi="ar"/>
              </w:rPr>
              <w:t>119.62</w:t>
            </w: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right"/>
              <w:rPr>
                <w:rFonts w:hint="default" w:ascii="Arial" w:hAnsi="Arial" w:eastAsia="宋体" w:cs="Arial"/>
                <w:i w:val="0"/>
                <w:color w:val="000000"/>
                <w:sz w:val="20"/>
                <w:szCs w:val="20"/>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十、节能环保支出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ascii="宋体" w:hAnsi="宋体" w:eastAsia="宋体" w:cs="宋体"/>
                <w:b w:val="0"/>
                <w:bCs w:val="0"/>
                <w:color w:val="000000"/>
                <w:sz w:val="21"/>
                <w:szCs w:val="21"/>
                <w:lang w:bidi="ar"/>
              </w:rPr>
              <w:t>36.53</w:t>
            </w: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right"/>
              <w:rPr>
                <w:rFonts w:hint="default" w:ascii="Arial" w:hAnsi="Arial" w:eastAsia="宋体" w:cs="Arial"/>
                <w:i w:val="0"/>
                <w:color w:val="000000"/>
                <w:sz w:val="20"/>
                <w:szCs w:val="20"/>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十一、城乡社区支出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ascii="宋体" w:hAnsi="宋体" w:eastAsia="宋体" w:cs="宋体"/>
                <w:b w:val="0"/>
                <w:bCs w:val="0"/>
                <w:color w:val="000000"/>
                <w:sz w:val="21"/>
                <w:szCs w:val="21"/>
                <w:lang w:bidi="ar"/>
              </w:rPr>
              <w:t>470.08</w:t>
            </w: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right"/>
              <w:rPr>
                <w:rFonts w:hint="default" w:ascii="Arial" w:hAnsi="Arial" w:eastAsia="宋体" w:cs="Arial"/>
                <w:i w:val="0"/>
                <w:color w:val="000000"/>
                <w:sz w:val="20"/>
                <w:szCs w:val="20"/>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十二、农林水支出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ascii="宋体" w:hAnsi="宋体" w:eastAsia="宋体" w:cs="宋体"/>
                <w:b w:val="0"/>
                <w:bCs w:val="0"/>
                <w:color w:val="000000"/>
                <w:sz w:val="21"/>
                <w:szCs w:val="21"/>
                <w:lang w:bidi="ar"/>
              </w:rPr>
              <w:t>852.53</w:t>
            </w: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十三、交通运输支出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ascii="宋体" w:hAnsi="宋体" w:eastAsia="宋体" w:cs="宋体"/>
                <w:b w:val="0"/>
                <w:bCs w:val="0"/>
                <w:color w:val="000000"/>
                <w:sz w:val="21"/>
                <w:szCs w:val="21"/>
                <w:lang w:bidi="ar"/>
              </w:rPr>
              <w:t>30.00</w:t>
            </w: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十四、资源勘探工业信息等支出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ascii="宋体" w:hAnsi="宋体" w:eastAsia="宋体" w:cs="宋体"/>
                <w:b w:val="0"/>
                <w:bCs w:val="0"/>
                <w:color w:val="000000"/>
                <w:sz w:val="21"/>
                <w:szCs w:val="21"/>
                <w:lang w:bidi="ar"/>
              </w:rPr>
              <w:t>5.00</w:t>
            </w: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十五、商业服务业等支出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十六、金融支出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十七、援助其他地区支出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十八、自然资源海洋气象等支出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ascii="宋体" w:hAnsi="宋体" w:eastAsia="宋体" w:cs="宋体"/>
                <w:b w:val="0"/>
                <w:bCs w:val="0"/>
                <w:color w:val="000000"/>
                <w:sz w:val="21"/>
                <w:szCs w:val="21"/>
                <w:lang w:bidi="ar"/>
              </w:rPr>
              <w:t>3.06</w:t>
            </w: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十九、住房保障支出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ascii="宋体" w:hAnsi="宋体" w:eastAsia="宋体" w:cs="宋体"/>
                <w:b w:val="0"/>
                <w:bCs w:val="0"/>
                <w:color w:val="000000"/>
                <w:sz w:val="21"/>
                <w:szCs w:val="21"/>
                <w:lang w:bidi="ar"/>
              </w:rPr>
              <w:t>70.45</w:t>
            </w: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二十、粮油物资储备支出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二十一、国有资本经营预算支出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二十二、灾害防治及应急管理支出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66.43</w:t>
            </w: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二十三、其他支出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152.58</w:t>
            </w: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二十四、债务还本支出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二十五、债务付息支出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二十六、抗疫特别国债安排的支出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3,237.92</w:t>
            </w: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3,237.92</w:t>
            </w: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使用非财政拨款结余和专用结余</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结余分配</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年初结转和结余</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年末结转和结余</w:t>
            </w:r>
          </w:p>
        </w:tc>
        <w:tc>
          <w:tcPr>
            <w:tcW w:w="3817" w:type="dxa"/>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7"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4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3,237.92</w:t>
            </w: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auto"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381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wordWrap w:val="0"/>
              <w:jc w:val="right"/>
              <w:textAlignment w:val="center"/>
              <w:rPr>
                <w:rFonts w:hint="eastAsia" w:ascii="宋体" w:hAnsi="宋体" w:eastAsia="宋体" w:cs="宋体"/>
                <w:i w:val="0"/>
                <w:color w:val="000000"/>
                <w:sz w:val="20"/>
                <w:szCs w:val="20"/>
                <w:u w:val="none"/>
                <w:lang w:val="en-US" w:eastAsia="zh-CN"/>
              </w:rPr>
            </w:pPr>
            <w:r>
              <w:rPr>
                <w:rFonts w:hint="eastAsia" w:ascii="宋体" w:hAnsi="宋体" w:eastAsia="宋体" w:cs="宋体"/>
                <w:color w:val="000000"/>
                <w:sz w:val="21"/>
                <w:szCs w:val="21"/>
                <w:lang w:bidi="ar"/>
              </w:rPr>
              <w:t>3,237.92</w:t>
            </w:r>
            <w:r>
              <w:rPr>
                <w:rFonts w:hint="eastAsia" w:cs="宋体"/>
                <w:color w:val="000000"/>
                <w:sz w:val="21"/>
                <w:szCs w:val="21"/>
                <w:lang w:val="en-US" w:eastAsia="zh-CN" w:bidi="ar"/>
              </w:rPr>
              <w:t xml:space="preserve"> </w:t>
            </w:r>
          </w:p>
        </w:tc>
      </w:tr>
    </w:tbl>
    <w:p>
      <w:pPr>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备注：1.本表反映单位本年度的总收支和年末结转结余情况。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pPr>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br w:type="page"/>
      </w:r>
    </w:p>
    <w:p>
      <w:pPr>
        <w:rPr>
          <w:rFonts w:hint="eastAsia" w:ascii="宋体" w:hAnsi="宋体" w:eastAsia="宋体" w:cs="宋体"/>
          <w:b w:val="0"/>
          <w:bCs w:val="0"/>
          <w:i w:val="0"/>
          <w:iCs w:val="0"/>
          <w:color w:val="auto"/>
          <w:kern w:val="0"/>
          <w:sz w:val="21"/>
          <w:szCs w:val="21"/>
          <w:u w:val="none"/>
          <w:shd w:val="clear" w:color="auto" w:fill="auto"/>
          <w:lang w:val="en-US" w:eastAsia="zh-CN" w:bidi="ar"/>
        </w:rPr>
      </w:pPr>
    </w:p>
    <w:tbl>
      <w:tblPr>
        <w:tblStyle w:val="6"/>
        <w:tblW w:w="22220" w:type="dxa"/>
        <w:tblInd w:w="0" w:type="dxa"/>
        <w:shd w:val="clear" w:color="auto" w:fill="auto"/>
        <w:tblLayout w:type="fixed"/>
        <w:tblCellMar>
          <w:top w:w="0" w:type="dxa"/>
          <w:left w:w="0" w:type="dxa"/>
          <w:bottom w:w="0" w:type="dxa"/>
          <w:right w:w="0" w:type="dxa"/>
        </w:tblCellMar>
      </w:tblPr>
      <w:tblGrid>
        <w:gridCol w:w="1941"/>
        <w:gridCol w:w="3317"/>
        <w:gridCol w:w="2412"/>
        <w:gridCol w:w="2399"/>
        <w:gridCol w:w="1963"/>
        <w:gridCol w:w="1963"/>
        <w:gridCol w:w="1963"/>
        <w:gridCol w:w="1963"/>
        <w:gridCol w:w="1963"/>
        <w:gridCol w:w="2336"/>
      </w:tblGrid>
      <w:tr>
        <w:tblPrEx>
          <w:tblCellMar>
            <w:top w:w="0" w:type="dxa"/>
            <w:left w:w="0" w:type="dxa"/>
            <w:bottom w:w="0" w:type="dxa"/>
            <w:right w:w="0" w:type="dxa"/>
          </w:tblCellMar>
        </w:tblPrEx>
        <w:trPr>
          <w:trHeight w:val="641" w:hRule="atLeast"/>
        </w:trPr>
        <w:tc>
          <w:tcPr>
            <w:tcW w:w="22220" w:type="dxa"/>
            <w:gridSpan w:val="10"/>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收入决算表</w:t>
            </w:r>
          </w:p>
        </w:tc>
      </w:tr>
      <w:tr>
        <w:tblPrEx>
          <w:tblCellMar>
            <w:top w:w="0" w:type="dxa"/>
            <w:left w:w="0" w:type="dxa"/>
            <w:bottom w:w="0" w:type="dxa"/>
            <w:right w:w="0" w:type="dxa"/>
          </w:tblCellMar>
        </w:tblPrEx>
        <w:trPr>
          <w:trHeight w:val="328" w:hRule="atLeast"/>
        </w:trPr>
        <w:tc>
          <w:tcPr>
            <w:tcW w:w="5258" w:type="dxa"/>
            <w:gridSpan w:val="2"/>
            <w:vMerge w:val="restart"/>
            <w:tcBorders>
              <w:top w:val="nil"/>
              <w:left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r>
              <w:rPr>
                <w:rFonts w:hint="eastAsia" w:cs="宋体"/>
                <w:sz w:val="24"/>
                <w:szCs w:val="24"/>
                <w:lang w:eastAsia="zh-CN"/>
              </w:rPr>
              <w:t>公开单位</w:t>
            </w:r>
            <w:r>
              <w:rPr>
                <w:rFonts w:hint="eastAsia" w:ascii="宋体" w:hAnsi="宋体" w:eastAsia="宋体" w:cs="宋体"/>
                <w:sz w:val="24"/>
                <w:szCs w:val="24"/>
              </w:rPr>
              <w:t>：</w:t>
            </w:r>
            <w:r>
              <w:rPr>
                <w:rFonts w:ascii="宋体" w:hAnsi="宋体" w:eastAsia="宋体" w:cs="宋体"/>
                <w:sz w:val="24"/>
                <w:u w:color="auto"/>
              </w:rPr>
              <w:t>重庆市黔江区城东街道办事处（本级）</w:t>
            </w:r>
          </w:p>
        </w:tc>
        <w:tc>
          <w:tcPr>
            <w:tcW w:w="2412"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399"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336"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公开02表</w:t>
            </w:r>
          </w:p>
        </w:tc>
      </w:tr>
      <w:tr>
        <w:tblPrEx>
          <w:tblCellMar>
            <w:top w:w="0" w:type="dxa"/>
            <w:left w:w="0" w:type="dxa"/>
            <w:bottom w:w="0" w:type="dxa"/>
            <w:right w:w="0" w:type="dxa"/>
          </w:tblCellMar>
        </w:tblPrEx>
        <w:trPr>
          <w:trHeight w:val="328" w:hRule="atLeast"/>
        </w:trPr>
        <w:tc>
          <w:tcPr>
            <w:tcW w:w="5258" w:type="dxa"/>
            <w:gridSpan w:val="2"/>
            <w:vMerge w:val="continue"/>
            <w:tcBorders>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412"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399"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336"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tblPrEx>
          <w:tblCellMar>
            <w:top w:w="0" w:type="dxa"/>
            <w:left w:w="0" w:type="dxa"/>
            <w:bottom w:w="0" w:type="dxa"/>
            <w:right w:w="0" w:type="dxa"/>
          </w:tblCellMar>
        </w:tblPrEx>
        <w:trPr>
          <w:trHeight w:val="431" w:hRule="atLeast"/>
        </w:trPr>
        <w:tc>
          <w:tcPr>
            <w:tcW w:w="5258" w:type="dxa"/>
            <w:gridSpan w:val="2"/>
            <w:tcBorders>
              <w:top w:val="single" w:color="000000" w:sz="4" w:space="0"/>
              <w:left w:val="single" w:color="000000" w:sz="4" w:space="0"/>
              <w:bottom w:val="single" w:color="000000" w:sz="4" w:space="0"/>
              <w:right w:val="nil"/>
            </w:tcBorders>
            <w:shd w:val="clear" w:color="auto" w:fill="D0CECE"/>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2412"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2399"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财政拨款收入</w:t>
            </w: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上级补助收入</w:t>
            </w:r>
          </w:p>
        </w:tc>
        <w:tc>
          <w:tcPr>
            <w:tcW w:w="3926" w:type="dxa"/>
            <w:gridSpan w:val="2"/>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事业收入</w:t>
            </w: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经营收入</w:t>
            </w: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附属单位上缴收入</w:t>
            </w:r>
          </w:p>
        </w:tc>
        <w:tc>
          <w:tcPr>
            <w:tcW w:w="2336"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其他收入</w:t>
            </w:r>
          </w:p>
        </w:tc>
      </w:tr>
      <w:tr>
        <w:tblPrEx>
          <w:tblCellMar>
            <w:top w:w="0" w:type="dxa"/>
            <w:left w:w="0" w:type="dxa"/>
            <w:bottom w:w="0" w:type="dxa"/>
            <w:right w:w="0" w:type="dxa"/>
          </w:tblCellMar>
        </w:tblPrEx>
        <w:trPr>
          <w:trHeight w:val="334" w:hRule="atLeast"/>
        </w:trPr>
        <w:tc>
          <w:tcPr>
            <w:tcW w:w="1941" w:type="dxa"/>
            <w:vMerge w:val="restar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功能分类科目编码</w:t>
            </w:r>
          </w:p>
        </w:tc>
        <w:tc>
          <w:tcPr>
            <w:tcW w:w="3317" w:type="dxa"/>
            <w:vMerge w:val="restart"/>
            <w:tcBorders>
              <w:top w:val="nil"/>
              <w:left w:val="nil"/>
              <w:bottom w:val="single" w:color="000000" w:sz="4" w:space="0"/>
              <w:right w:val="nil"/>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项目（按“项”级功能分类科目）</w:t>
            </w:r>
          </w:p>
        </w:tc>
        <w:tc>
          <w:tcPr>
            <w:tcW w:w="2412"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39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小计</w:t>
            </w: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其中：教育收费</w:t>
            </w: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33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tblCellMar>
            <w:top w:w="0" w:type="dxa"/>
            <w:left w:w="0" w:type="dxa"/>
            <w:bottom w:w="0" w:type="dxa"/>
            <w:right w:w="0" w:type="dxa"/>
          </w:tblCellMar>
        </w:tblPrEx>
        <w:trPr>
          <w:trHeight w:val="334" w:hRule="atLeast"/>
        </w:trPr>
        <w:tc>
          <w:tcPr>
            <w:tcW w:w="1941"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3317"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412"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39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33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tblCellMar>
            <w:top w:w="0" w:type="dxa"/>
            <w:left w:w="0" w:type="dxa"/>
            <w:bottom w:w="0" w:type="dxa"/>
            <w:right w:w="0" w:type="dxa"/>
          </w:tblCellMar>
        </w:tblPrEx>
        <w:trPr>
          <w:trHeight w:val="334" w:hRule="atLeast"/>
        </w:trPr>
        <w:tc>
          <w:tcPr>
            <w:tcW w:w="1941"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3317"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412"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39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33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tblCellMar>
            <w:top w:w="0" w:type="dxa"/>
            <w:left w:w="0" w:type="dxa"/>
            <w:bottom w:w="0" w:type="dxa"/>
            <w:right w:w="0" w:type="dxa"/>
          </w:tblCellMar>
        </w:tblPrEx>
        <w:trPr>
          <w:trHeight w:val="334" w:hRule="atLeast"/>
        </w:trPr>
        <w:tc>
          <w:tcPr>
            <w:tcW w:w="1941"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3317"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412"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39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33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tblCellMar>
            <w:top w:w="0" w:type="dxa"/>
            <w:left w:w="0" w:type="dxa"/>
            <w:bottom w:w="0" w:type="dxa"/>
            <w:right w:w="0" w:type="dxa"/>
          </w:tblCellMar>
        </w:tblPrEx>
        <w:trPr>
          <w:trHeight w:val="338" w:hRule="atLeast"/>
        </w:trPr>
        <w:tc>
          <w:tcPr>
            <w:tcW w:w="5258" w:type="dxa"/>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24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3,237.92</w:t>
            </w:r>
            <w:r>
              <w:rPr>
                <w:rFonts w:hint="eastAsia" w:cs="宋体"/>
                <w:b/>
                <w:bCs/>
                <w:color w:val="000000"/>
                <w:sz w:val="21"/>
                <w:szCs w:val="21"/>
                <w:lang w:val="en-US" w:eastAsia="zh-CN" w:bidi="ar"/>
              </w:rPr>
              <w:t xml:space="preserve"> </w:t>
            </w:r>
          </w:p>
        </w:tc>
        <w:tc>
          <w:tcPr>
            <w:tcW w:w="239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3,237.92</w:t>
            </w:r>
            <w:r>
              <w:rPr>
                <w:rFonts w:hint="eastAsia" w:cs="宋体"/>
                <w:b/>
                <w:bCs/>
                <w:color w:val="000000"/>
                <w:sz w:val="21"/>
                <w:szCs w:val="21"/>
                <w:lang w:val="en-US" w:eastAsia="zh-CN" w:bidi="ar"/>
              </w:rPr>
              <w:t xml:space="preserve"> </w:t>
            </w:r>
          </w:p>
        </w:tc>
        <w:tc>
          <w:tcPr>
            <w:tcW w:w="19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19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19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19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19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3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一般公共服务支出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1,105.11</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1,105.11</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20101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人大事务</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49.02</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49.02</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2010101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行政运行</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37.22</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37.22</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2010102</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一般行政管理事务</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4.00</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4.00</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2010107</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人大代表履职能力提升</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7.80</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7.80</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20103</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政府办公厅（室）及相关机构事务</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781.47</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781.47</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2010301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行政运行</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397.73</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397.73</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2010302</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一般行政管理事务</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383.74</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383.74</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20105</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统计信息事务</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89.43</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89.43</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2010507</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专项普查活动</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89.43</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89.43</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20106</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财政事务</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35.03</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35.03</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2010601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行政运行</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35.03</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35.03</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20129</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群众团体事务</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2.58</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2.58</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2012902</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一般行政管理事务</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2.58</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2.58</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20131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党委办公厅（室）及相关机构事务</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147.57</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147.57</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2013101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行政运行</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141.57</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141.57</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2013102</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一般行政管理事务</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6.00</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6.00</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204</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公共安全支出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104.66</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104.66</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20402</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公安</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4.66</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4.66</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2040202</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一般行政管理事务</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4.66</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4.66</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20406</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司法</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100.00</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100.00</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2040612</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法治建设</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100.00</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100.00</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207</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文化旅游体育与传媒支出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2.27</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2.27</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20701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文化和旅游</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2.27</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2.27</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2070199</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其他文化和旅游支出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2.27</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2.27</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社会保障和就业支出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219.59</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219.59</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20801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人力资源和社会保障管理事务</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0.81</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0.81</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2080199</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其他人力资源和社会保障管理事务支出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0.81</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0.81</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20805</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行政事业单位养老支出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213.76</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213.76</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2080505</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机关事业单位基本养老保险缴费支出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87.58</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87.58</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2080506</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机关事业单位职业年金缴费支出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60.49</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60.49</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2080599</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其他行政事业单位养老支出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65.69</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65.69</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20820</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临时救助</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4.10</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4.10</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2082001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临时救助支出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4.10</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4.10</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20828</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退役军人管理事务</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0.93</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0.93</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2082899</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其他退役军人事务管理支出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0.93</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0.93</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卫生健康支出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119.62</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119.62</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21001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卫生健康管理事务</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35.82</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35.82</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2100101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行政运行</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35.82</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35.82</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21004</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公共卫生</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6.00</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6.00</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2100409</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重大公共卫生服务</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6.00</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6.00</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21007</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计划生育事务</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4.20</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4.20</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2100717</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计划生育服务</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4.20</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4.20</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21011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行政事业单位医疗</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71.31</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71.31</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2101101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行政单位医疗</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54.39</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54.39</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2101103</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公务员医疗补助</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6.24</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6.24</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2101199</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其他行政事业单位医疗支出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10.68</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10.68</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21015</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医疗保障管理事务</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2.29</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2.29</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2101506</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医疗保障经办事务</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2.29</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2.29</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节能环保支出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36.53</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36.53</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21101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环境保护管理事务</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29.03</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29.03</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2110101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行政运行</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28.03</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28.03</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2110102</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一般行政管理事务</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1.00</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1.00</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21103</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污染防治</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1.50</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1.50</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2110399</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其他污染防治支出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1.50</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1.50</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21104</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自然生态保护</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6.00</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6.00</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2110404</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生物及物种资源保护</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6.00</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6.00</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212</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城乡社区支出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470.08</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470.08</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21201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城乡社区管理事务</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91.00</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91.00</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2120104</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城管执法</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91.00</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91.00</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21205</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城乡社区环境卫生</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360.00</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360.00</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2120501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城乡社区环境卫生</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360.00</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360.00</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21208</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国有土地使用权出让收入安排的支出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19.08</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19.08</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2120899</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其他国有土地使用权出让收入安排的支出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19.08</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19.08</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213</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农林水支出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852.53</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852.53</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21301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农业农村</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11.63</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11.63</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2130111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统计监测与信息服务</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8.64</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8.64</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2130122</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农业生产发展</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0.36</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0.36</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2130124</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农村合作经济</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1.85</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1.85</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2130135</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农业生态资源保护</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0.77</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0.77</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21302</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林业和草原</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351.08</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351.08</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2130205</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森林资源培育</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1.60</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1.60</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2130234</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林业草原防灾减灾</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12.91</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12.91</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2130299</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其他林业和草原支出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336.57</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336.57</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21303</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水利</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10.10</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10.10</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2130316</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农村水利</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10.10</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10.10</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21305</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巩固脱贫攻坚成果衔接乡村振兴</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66.83</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66.83</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2130504</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农村基础设施建设</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44.31</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44.31</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2130505</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生产发展</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18.20</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18.20</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2130506</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社会发展</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4.32</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4.32</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21307</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农村综合改革</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412.90</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412.90</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2130705</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对村民委员会和村党支部的补助</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391.90</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391.90</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2130799</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其他农村综合改革支出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21.00</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21.00</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214</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交通运输支出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30.00</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30.00</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21401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公路水路运输</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30.00</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30.00</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2140104</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公路建设</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30.00</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30.00</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215</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资源勘探工业信息等支出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5.00</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5.00</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21508</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支持中小企业发展和管理支出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5.00</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5.00</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2150805</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中小企业发展专项</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5.00</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5.00</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220</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自然资源海洋气象等支出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3.06</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3.06</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22001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自然资源事务</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3.06</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3.06</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2200106</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自然资源利用与保护</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3.06</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3.06</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住房保障支出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70.45</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70.45</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22102</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住房改革支出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70.45</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70.45</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2210201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住房公积金</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70.45</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70.45</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224</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灾害防治及应急管理支出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66.43</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66.43</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22401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应急管理事务</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59.08</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59.08</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2240101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行政运行</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50.27</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50.27</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2240102</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一般行政管理事务</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6.21</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6.21</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2240108</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应急救援</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2.60</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2.60</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22406</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自然灾害防治</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7.35</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7.35</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2240699</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其他自然灾害防治支出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7.35</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7.35</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229</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其他支出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152.58</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152.58</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22960</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彩票公益金安排的支出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152.58</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152.58</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2296002</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用于社会福利的彩票公益金支出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149.85</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149.85</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2296099</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用于其他社会公益事业的彩票公益金支出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2.73</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2.73</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bl>
    <w:p>
      <w:pPr>
        <w:ind w:left="630" w:hanging="630" w:hangingChars="300"/>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备注：1.本表反映单位本年度取得的各项收入情况。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p>
    <w:p>
      <w:pPr>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br w:type="page"/>
      </w:r>
    </w:p>
    <w:p>
      <w:pPr>
        <w:ind w:left="630" w:hanging="630" w:hangingChars="300"/>
        <w:rPr>
          <w:rFonts w:hint="eastAsia" w:ascii="宋体" w:hAnsi="宋体" w:eastAsia="宋体" w:cs="宋体"/>
          <w:b w:val="0"/>
          <w:bCs w:val="0"/>
          <w:i w:val="0"/>
          <w:iCs w:val="0"/>
          <w:color w:val="auto"/>
          <w:kern w:val="0"/>
          <w:sz w:val="21"/>
          <w:szCs w:val="21"/>
          <w:u w:val="none"/>
          <w:shd w:val="clear" w:color="auto" w:fill="auto"/>
          <w:lang w:val="en-US" w:eastAsia="zh-CN" w:bidi="ar"/>
        </w:rPr>
      </w:pPr>
    </w:p>
    <w:tbl>
      <w:tblPr>
        <w:tblStyle w:val="6"/>
        <w:tblW w:w="22180" w:type="dxa"/>
        <w:tblInd w:w="0" w:type="dxa"/>
        <w:shd w:val="clear" w:color="auto" w:fill="auto"/>
        <w:tblLayout w:type="fixed"/>
        <w:tblCellMar>
          <w:top w:w="0" w:type="dxa"/>
          <w:left w:w="0" w:type="dxa"/>
          <w:bottom w:w="0" w:type="dxa"/>
          <w:right w:w="0" w:type="dxa"/>
        </w:tblCellMar>
      </w:tblPr>
      <w:tblGrid>
        <w:gridCol w:w="2082"/>
        <w:gridCol w:w="3528"/>
        <w:gridCol w:w="2760"/>
        <w:gridCol w:w="2760"/>
        <w:gridCol w:w="2760"/>
        <w:gridCol w:w="2760"/>
        <w:gridCol w:w="2760"/>
        <w:gridCol w:w="2770"/>
      </w:tblGrid>
      <w:tr>
        <w:tblPrEx>
          <w:shd w:val="clear" w:color="auto" w:fill="auto"/>
          <w:tblCellMar>
            <w:top w:w="0" w:type="dxa"/>
            <w:left w:w="0" w:type="dxa"/>
            <w:bottom w:w="0" w:type="dxa"/>
            <w:right w:w="0" w:type="dxa"/>
          </w:tblCellMar>
        </w:tblPrEx>
        <w:trPr>
          <w:trHeight w:val="654" w:hRule="atLeast"/>
        </w:trPr>
        <w:tc>
          <w:tcPr>
            <w:tcW w:w="22180" w:type="dxa"/>
            <w:gridSpan w:val="8"/>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支出决算表</w:t>
            </w:r>
          </w:p>
        </w:tc>
      </w:tr>
      <w:tr>
        <w:tblPrEx>
          <w:shd w:val="clear" w:color="auto" w:fill="auto"/>
          <w:tblCellMar>
            <w:top w:w="0" w:type="dxa"/>
            <w:left w:w="0" w:type="dxa"/>
            <w:bottom w:w="0" w:type="dxa"/>
            <w:right w:w="0" w:type="dxa"/>
          </w:tblCellMar>
        </w:tblPrEx>
        <w:trPr>
          <w:trHeight w:val="342" w:hRule="atLeast"/>
        </w:trPr>
        <w:tc>
          <w:tcPr>
            <w:tcW w:w="5610" w:type="dxa"/>
            <w:gridSpan w:val="2"/>
            <w:vMerge w:val="restart"/>
            <w:tcBorders>
              <w:top w:val="nil"/>
              <w:left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r>
              <w:rPr>
                <w:rFonts w:hint="eastAsia" w:asciiTheme="minorEastAsia" w:hAnsiTheme="minorEastAsia" w:eastAsiaTheme="minorEastAsia" w:cstheme="minorEastAsia"/>
                <w:sz w:val="24"/>
                <w:szCs w:val="24"/>
                <w:lang w:eastAsia="zh-CN"/>
              </w:rPr>
              <w:t>公开单位</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 xml:space="preserve">重庆市黔江区城东街道办事处（本级） </w:t>
            </w:r>
          </w:p>
        </w:tc>
        <w:tc>
          <w:tcPr>
            <w:tcW w:w="276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770"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公开03表</w:t>
            </w:r>
          </w:p>
        </w:tc>
      </w:tr>
      <w:tr>
        <w:tblPrEx>
          <w:shd w:val="clear" w:color="auto" w:fill="auto"/>
          <w:tblCellMar>
            <w:top w:w="0" w:type="dxa"/>
            <w:left w:w="0" w:type="dxa"/>
            <w:bottom w:w="0" w:type="dxa"/>
            <w:right w:w="0" w:type="dxa"/>
          </w:tblCellMar>
        </w:tblPrEx>
        <w:trPr>
          <w:trHeight w:val="342" w:hRule="atLeast"/>
        </w:trPr>
        <w:tc>
          <w:tcPr>
            <w:tcW w:w="5610" w:type="dxa"/>
            <w:gridSpan w:val="2"/>
            <w:vMerge w:val="continue"/>
            <w:tcBorders>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770"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tblPrEx>
          <w:shd w:val="clear" w:color="auto" w:fill="auto"/>
          <w:tblCellMar>
            <w:top w:w="0" w:type="dxa"/>
            <w:left w:w="0" w:type="dxa"/>
            <w:bottom w:w="0" w:type="dxa"/>
            <w:right w:w="0" w:type="dxa"/>
          </w:tblCellMar>
        </w:tblPrEx>
        <w:trPr>
          <w:trHeight w:val="362" w:hRule="atLeast"/>
        </w:trPr>
        <w:tc>
          <w:tcPr>
            <w:tcW w:w="5610" w:type="dxa"/>
            <w:gridSpan w:val="2"/>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基本支出</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项目支出</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上缴上级支出</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经营支出</w:t>
            </w:r>
          </w:p>
        </w:tc>
        <w:tc>
          <w:tcPr>
            <w:tcW w:w="277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对附属单位补助支出</w:t>
            </w:r>
          </w:p>
        </w:tc>
      </w:tr>
      <w:tr>
        <w:tblPrEx>
          <w:shd w:val="clear" w:color="auto" w:fill="auto"/>
          <w:tblCellMar>
            <w:top w:w="0" w:type="dxa"/>
            <w:left w:w="0" w:type="dxa"/>
            <w:bottom w:w="0" w:type="dxa"/>
            <w:right w:w="0" w:type="dxa"/>
          </w:tblCellMar>
        </w:tblPrEx>
        <w:trPr>
          <w:trHeight w:val="338" w:hRule="atLeast"/>
        </w:trPr>
        <w:tc>
          <w:tcPr>
            <w:tcW w:w="2082" w:type="dxa"/>
            <w:vMerge w:val="restar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功能分类科目编码</w:t>
            </w:r>
          </w:p>
        </w:tc>
        <w:tc>
          <w:tcPr>
            <w:tcW w:w="3528" w:type="dxa"/>
            <w:vMerge w:val="restart"/>
            <w:tcBorders>
              <w:top w:val="nil"/>
              <w:left w:val="nil"/>
              <w:bottom w:val="single" w:color="000000" w:sz="4" w:space="0"/>
              <w:right w:val="nil"/>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项目（按“项”级功能分类科目）</w:t>
            </w: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7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shd w:val="clear" w:color="auto" w:fill="auto"/>
          <w:tblCellMar>
            <w:top w:w="0" w:type="dxa"/>
            <w:left w:w="0" w:type="dxa"/>
            <w:bottom w:w="0" w:type="dxa"/>
            <w:right w:w="0" w:type="dxa"/>
          </w:tblCellMar>
        </w:tblPrEx>
        <w:trPr>
          <w:trHeight w:val="338" w:hRule="atLeast"/>
        </w:trPr>
        <w:tc>
          <w:tcPr>
            <w:tcW w:w="2082"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3528"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7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shd w:val="clear" w:color="auto" w:fill="auto"/>
          <w:tblCellMar>
            <w:top w:w="0" w:type="dxa"/>
            <w:left w:w="0" w:type="dxa"/>
            <w:bottom w:w="0" w:type="dxa"/>
            <w:right w:w="0" w:type="dxa"/>
          </w:tblCellMar>
        </w:tblPrEx>
        <w:trPr>
          <w:trHeight w:val="338" w:hRule="atLeast"/>
        </w:trPr>
        <w:tc>
          <w:tcPr>
            <w:tcW w:w="2082"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3528"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7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shd w:val="clear" w:color="auto" w:fill="auto"/>
          <w:tblCellMar>
            <w:top w:w="0" w:type="dxa"/>
            <w:left w:w="0" w:type="dxa"/>
            <w:bottom w:w="0" w:type="dxa"/>
            <w:right w:w="0" w:type="dxa"/>
          </w:tblCellMar>
        </w:tblPrEx>
        <w:trPr>
          <w:trHeight w:val="338" w:hRule="atLeast"/>
        </w:trPr>
        <w:tc>
          <w:tcPr>
            <w:tcW w:w="2082"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3528"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7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shd w:val="clear" w:color="auto" w:fill="auto"/>
          <w:tblCellMar>
            <w:top w:w="0" w:type="dxa"/>
            <w:left w:w="0" w:type="dxa"/>
            <w:bottom w:w="0" w:type="dxa"/>
            <w:right w:w="0" w:type="dxa"/>
          </w:tblCellMar>
        </w:tblPrEx>
        <w:trPr>
          <w:trHeight w:val="362" w:hRule="atLeast"/>
        </w:trPr>
        <w:tc>
          <w:tcPr>
            <w:tcW w:w="5610" w:type="dxa"/>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27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3,237.92</w:t>
            </w:r>
            <w:r>
              <w:rPr>
                <w:rFonts w:hint="eastAsia" w:cs="宋体"/>
                <w:b/>
                <w:bCs/>
                <w:color w:val="000000"/>
                <w:sz w:val="21"/>
                <w:szCs w:val="21"/>
                <w:lang w:val="en-US" w:eastAsia="zh-CN" w:bidi="ar"/>
              </w:rPr>
              <w:t xml:space="preserve"> </w:t>
            </w:r>
          </w:p>
        </w:tc>
        <w:tc>
          <w:tcPr>
            <w:tcW w:w="27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1,081.19</w:t>
            </w:r>
            <w:r>
              <w:rPr>
                <w:rFonts w:hint="eastAsia" w:cs="宋体"/>
                <w:b/>
                <w:bCs/>
                <w:color w:val="000000"/>
                <w:sz w:val="21"/>
                <w:szCs w:val="21"/>
                <w:lang w:val="en-US" w:eastAsia="zh-CN" w:bidi="ar"/>
              </w:rPr>
              <w:t xml:space="preserve"> </w:t>
            </w:r>
          </w:p>
        </w:tc>
        <w:tc>
          <w:tcPr>
            <w:tcW w:w="27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2,156.74</w:t>
            </w:r>
            <w:r>
              <w:rPr>
                <w:rFonts w:hint="eastAsia" w:cs="宋体"/>
                <w:b/>
                <w:bCs/>
                <w:color w:val="000000"/>
                <w:sz w:val="21"/>
                <w:szCs w:val="21"/>
                <w:lang w:val="en-US" w:eastAsia="zh-CN" w:bidi="ar"/>
              </w:rPr>
              <w:t xml:space="preserve"> </w:t>
            </w:r>
          </w:p>
        </w:tc>
        <w:tc>
          <w:tcPr>
            <w:tcW w:w="27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7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一般公共服务支出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1,105.11</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611.55</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493.56</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20101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人大事务</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49.02</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37.22</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11.80</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2010101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行政运行</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37.22</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37.22</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2010102</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一般行政管理事务</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4.00</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4.00</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2010107</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人大代表履职能力提升</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7.80</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7.80</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20103</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政府办公厅（室）及相关机构事务</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781.47</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397.73</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383.74</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2010301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行政运行</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397.73</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397.73</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2010302</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一般行政管理事务</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383.74</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383.74</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20105</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统计信息事务</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89.43</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89.43</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2010507</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专项普查活动</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89.43</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89.43</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20106</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财政事务</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35.03</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35.03</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2010601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行政运行</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35.03</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35.03</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20129</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群众团体事务</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2.58</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2.58</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2012902</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一般行政管理事务</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2.58</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2.58</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20131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党委办公厅（室）及相关机构事务</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147.57</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141.57</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6.00</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2013101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行政运行</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141.57</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141.57</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2013102</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一般行政管理事务</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6.00</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6.00</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204</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公共安全支出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104.66</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104.66</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20402</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公安</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4.66</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4.66</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2040202</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一般行政管理事务</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4.66</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4.66</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20406</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司法</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100.00</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100.00</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2040612</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法治建设</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100.00</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100.00</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207</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文化旅游体育与传媒支出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2.27</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2.27</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20701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文化和旅游</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2.27</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2.27</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2070199</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其他文化和旅游支出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2.27</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2.27</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社会保障和就业支出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219.59</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213.76</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5.84</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20801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人力资源和社会保障管理事务</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0.81</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0.81</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2080199</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其他人力资源和社会保障管理事务支出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0.81</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0.81</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20805</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行政事业单位养老支出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213.76</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213.76</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2080505</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机关事业单位基本养老保险缴费支出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87.58</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87.58</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2080506</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机关事业单位职业年金缴费支出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60.49</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60.49</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2080599</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其他行政事业单位养老支出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65.69</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65.69</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20820</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临时救助</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4.10</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4.10</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2082001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临时救助支出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4.10</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4.10</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20828</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退役军人管理事务</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0.93</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0.93</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2082899</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其他退役军人事务管理支出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0.93</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0.93</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卫生健康支出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119.62</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107.13</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12.49</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21001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卫生健康管理事务</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35.82</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35.82</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2100101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行政运行</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35.82</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35.82</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21004</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公共卫生</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6.00</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6.00</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2100409</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重大公共卫生服务</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6.00</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6.00</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21007</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计划生育事务</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4.20</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4.20</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2100717</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计划生育服务</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4.20</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4.20</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21011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行政事业单位医疗</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71.31</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71.31</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2101101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行政单位医疗</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54.39</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54.39</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2101103</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公务员医疗补助</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6.24</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6.24</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2101199</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其他行政事业单位医疗支出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10.68</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10.68</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21015</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医疗保障管理事务</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2.29</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2.29</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2101506</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医疗保障经办事务</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2.29</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2.29</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节能环保支出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36.53</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28.03</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8.50</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21101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环境保护管理事务</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29.03</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28.03</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1.00</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2110101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行政运行</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28.03</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28.03</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2110102</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一般行政管理事务</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1.00</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1.00</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21103</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污染防治</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1.50</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1.50</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2110399</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其他污染防治支出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1.50</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1.50</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21104</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自然生态保护</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6.00</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6.00</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2110404</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生物及物种资源保护</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6.00</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6.00</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212</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城乡社区支出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470.08</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470.08</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21201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城乡社区管理事务</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91.00</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91.00</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2120104</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城管执法</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91.00</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91.00</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21205</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城乡社区环境卫生</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360.00</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360.00</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2120501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城乡社区环境卫生</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360.00</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360.00</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21208</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国有土地使用权出让收入安排的支出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19.08</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19.08</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2120899</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其他国有土地使用权出让收入安排的支出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19.08</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19.08</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213</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农林水支出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852.53</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852.53</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21301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农业农村</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11.63</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11.63</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2130111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统计监测与信息服务</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8.64</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8.64</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2130122</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农业生产发展</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0.36</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0.36</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2130124</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农村合作经济</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1.85</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1.85</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2130135</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农业生态资源保护</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0.77</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0.77</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21302</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林业和草原</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351.08</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351.08</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2130205</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森林资源培育</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1.60</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1.60</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2130234</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林业草原防灾减灾</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12.91</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12.91</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2130299</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其他林业和草原支出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336.57</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336.57</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21303</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水利</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10.10</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10.10</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2130316</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农村水利</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10.10</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10.10</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21305</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巩固脱贫攻坚成果衔接乡村振兴</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66.83</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66.83</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2130504</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农村基础设施建设</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44.31</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44.31</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2130505</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生产发展</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18.20</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18.20</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2130506</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社会发展</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4.32</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4.32</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21307</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农村综合改革</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412.90</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412.90</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2130705</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对村民委员会和村党支部的补助</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391.90</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391.90</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2130799</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其他农村综合改革支出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21.00</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21.00</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214</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交通运输支出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30.00</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30.00</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21401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公路水路运输</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30.00</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30.00</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2140104</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公路建设</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30.00</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30.00</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215</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资源勘探工业信息等支出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5.00</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5.00</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21508</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支持中小企业发展和管理支出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5.00</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5.00</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2150805</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中小企业发展专项</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5.00</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5.00</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220</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自然资源海洋气象等支出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3.06</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3.06</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22001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自然资源事务</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3.06</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3.06</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2200106</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自然资源利用与保护</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3.06</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3.06</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住房保障支出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70.45</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70.45</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22102</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住房改革支出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70.45</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70.45</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2210201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住房公积金</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70.45</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70.45</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224</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灾害防治及应急管理支出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66.43</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50.27</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16.16</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22401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应急管理事务</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59.08</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50.27</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8.81</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2240101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行政运行</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50.27</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50.27</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2240102</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一般行政管理事务</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6.21</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6.21</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2240108</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应急救援</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2.60</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2.60</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22406</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自然灾害防治</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7.35</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7.35</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2240699</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其他自然灾害防治支出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7.35</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7.35</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229</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其他支出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152.58</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152.58</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22960</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彩票公益金安排的支出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152.58</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152.58</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2296002</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用于社会福利的彩票公益金支出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149.85</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149.85</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2296099</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用于其他社会公益事业的彩票公益金支出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2.73</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2.73</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bl>
    <w:p>
      <w:pPr>
        <w:rPr>
          <w:rFonts w:hint="eastAsia" w:ascii="宋体" w:hAnsi="宋体" w:eastAsia="宋体" w:cs="宋体"/>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备注：1.本表反映单位本年度取得的各项收入情况。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pPr>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br w:type="page"/>
      </w:r>
    </w:p>
    <w:p>
      <w:pPr>
        <w:rPr>
          <w:rFonts w:hint="eastAsia" w:ascii="宋体" w:hAnsi="宋体" w:eastAsia="宋体" w:cs="宋体"/>
          <w:b w:val="0"/>
          <w:bCs w:val="0"/>
          <w:i w:val="0"/>
          <w:iCs w:val="0"/>
          <w:color w:val="auto"/>
          <w:kern w:val="0"/>
          <w:sz w:val="21"/>
          <w:szCs w:val="21"/>
          <w:u w:val="none"/>
          <w:shd w:val="clear" w:color="auto" w:fill="auto"/>
          <w:lang w:val="en-US" w:eastAsia="zh-CN" w:bidi="ar"/>
        </w:rPr>
      </w:pPr>
    </w:p>
    <w:tbl>
      <w:tblPr>
        <w:tblStyle w:val="6"/>
        <w:tblW w:w="22360" w:type="dxa"/>
        <w:tblInd w:w="0" w:type="dxa"/>
        <w:shd w:val="clear" w:color="auto" w:fill="auto"/>
        <w:tblLayout w:type="fixed"/>
        <w:tblCellMar>
          <w:top w:w="0" w:type="dxa"/>
          <w:left w:w="0" w:type="dxa"/>
          <w:bottom w:w="0" w:type="dxa"/>
          <w:right w:w="0" w:type="dxa"/>
        </w:tblCellMar>
      </w:tblPr>
      <w:tblGrid>
        <w:gridCol w:w="4068"/>
        <w:gridCol w:w="2674"/>
        <w:gridCol w:w="3752"/>
        <w:gridCol w:w="2952"/>
        <w:gridCol w:w="2952"/>
        <w:gridCol w:w="2952"/>
        <w:gridCol w:w="3010"/>
      </w:tblGrid>
      <w:tr>
        <w:tblPrEx>
          <w:tblCellMar>
            <w:top w:w="0" w:type="dxa"/>
            <w:left w:w="0" w:type="dxa"/>
            <w:bottom w:w="0" w:type="dxa"/>
            <w:right w:w="0" w:type="dxa"/>
          </w:tblCellMar>
        </w:tblPrEx>
        <w:trPr>
          <w:trHeight w:val="90" w:hRule="atLeast"/>
        </w:trPr>
        <w:tc>
          <w:tcPr>
            <w:tcW w:w="22360" w:type="dxa"/>
            <w:gridSpan w:val="7"/>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财政拨款收入支出决算总表</w:t>
            </w:r>
          </w:p>
        </w:tc>
      </w:tr>
      <w:tr>
        <w:tblPrEx>
          <w:tblCellMar>
            <w:top w:w="0" w:type="dxa"/>
            <w:left w:w="0" w:type="dxa"/>
            <w:bottom w:w="0" w:type="dxa"/>
            <w:right w:w="0" w:type="dxa"/>
          </w:tblCellMar>
        </w:tblPrEx>
        <w:trPr>
          <w:trHeight w:val="90" w:hRule="atLeast"/>
        </w:trPr>
        <w:tc>
          <w:tcPr>
            <w:tcW w:w="6742" w:type="dxa"/>
            <w:gridSpan w:val="2"/>
            <w:vMerge w:val="restart"/>
            <w:tcBorders>
              <w:top w:val="nil"/>
              <w:left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r>
              <w:rPr>
                <w:rFonts w:hint="eastAsia" w:asciiTheme="minorEastAsia" w:hAnsiTheme="minorEastAsia" w:eastAsiaTheme="minorEastAsia" w:cstheme="minorEastAsia"/>
                <w:sz w:val="24"/>
                <w:szCs w:val="24"/>
                <w:lang w:eastAsia="zh-CN"/>
              </w:rPr>
              <w:t>公开单位</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重庆市黔江区城东街道办事处（本级）</w:t>
            </w:r>
          </w:p>
        </w:tc>
        <w:tc>
          <w:tcPr>
            <w:tcW w:w="3752"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952"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952"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952"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3010"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公开04表</w:t>
            </w:r>
          </w:p>
        </w:tc>
      </w:tr>
      <w:tr>
        <w:tblPrEx>
          <w:tblCellMar>
            <w:top w:w="0" w:type="dxa"/>
            <w:left w:w="0" w:type="dxa"/>
            <w:bottom w:w="0" w:type="dxa"/>
            <w:right w:w="0" w:type="dxa"/>
          </w:tblCellMar>
        </w:tblPrEx>
        <w:trPr>
          <w:trHeight w:val="90" w:hRule="atLeast"/>
        </w:trPr>
        <w:tc>
          <w:tcPr>
            <w:tcW w:w="6742" w:type="dxa"/>
            <w:gridSpan w:val="2"/>
            <w:vMerge w:val="continue"/>
            <w:tcBorders>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3752"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952"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952"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952"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3010"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tblPrEx>
          <w:tblCellMar>
            <w:top w:w="0" w:type="dxa"/>
            <w:left w:w="0" w:type="dxa"/>
            <w:bottom w:w="0" w:type="dxa"/>
            <w:right w:w="0" w:type="dxa"/>
          </w:tblCellMar>
        </w:tblPrEx>
        <w:trPr>
          <w:trHeight w:val="90" w:hRule="atLeast"/>
        </w:trPr>
        <w:tc>
          <w:tcPr>
            <w:tcW w:w="6742" w:type="dxa"/>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收     入</w:t>
            </w:r>
          </w:p>
        </w:tc>
        <w:tc>
          <w:tcPr>
            <w:tcW w:w="15618" w:type="dxa"/>
            <w:gridSpan w:val="5"/>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支     出</w:t>
            </w:r>
          </w:p>
        </w:tc>
      </w:tr>
      <w:tr>
        <w:tblPrEx>
          <w:tblCellMar>
            <w:top w:w="0" w:type="dxa"/>
            <w:left w:w="0" w:type="dxa"/>
            <w:bottom w:w="0" w:type="dxa"/>
            <w:right w:w="0" w:type="dxa"/>
          </w:tblCellMar>
        </w:tblPrEx>
        <w:trPr>
          <w:trHeight w:val="90" w:hRule="atLeast"/>
        </w:trPr>
        <w:tc>
          <w:tcPr>
            <w:tcW w:w="4068"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2674"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c>
          <w:tcPr>
            <w:tcW w:w="3752"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w:t>
            </w:r>
          </w:p>
        </w:tc>
        <w:tc>
          <w:tcPr>
            <w:tcW w:w="11866" w:type="dxa"/>
            <w:gridSpan w:val="4"/>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r>
      <w:tr>
        <w:tblPrEx>
          <w:tblCellMar>
            <w:top w:w="0" w:type="dxa"/>
            <w:left w:w="0" w:type="dxa"/>
            <w:bottom w:w="0" w:type="dxa"/>
            <w:right w:w="0" w:type="dxa"/>
          </w:tblCellMar>
        </w:tblPrEx>
        <w:trPr>
          <w:trHeight w:val="90" w:hRule="atLeast"/>
        </w:trPr>
        <w:tc>
          <w:tcPr>
            <w:tcW w:w="4068"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674"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3752"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9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小计</w:t>
            </w:r>
          </w:p>
        </w:tc>
        <w:tc>
          <w:tcPr>
            <w:tcW w:w="29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一般公共预算财政拨款</w:t>
            </w:r>
          </w:p>
        </w:tc>
        <w:tc>
          <w:tcPr>
            <w:tcW w:w="29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政府性基金预算财政拨款</w:t>
            </w:r>
          </w:p>
        </w:tc>
        <w:tc>
          <w:tcPr>
            <w:tcW w:w="301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国有资本经营预算财政拨款</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3,066.26</w:t>
            </w: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1,105.11</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1,105.11</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171.66</w:t>
            </w: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104.66</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104.66</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七、文化旅游体育与传媒支出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2.27</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2.27</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八、社会保障和就业支出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219.59</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219.59</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九、卫生健康支出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119.62</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119.62</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十、节能环保支出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36.53</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36.53</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十一、城乡社区支出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470.08</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451.00</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19.08</w:t>
            </w: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十二、农林水支出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852.53</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852.53</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十三、交通运输支出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30.00</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30.00</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十四、资源勘探工业信息等支出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5.00</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5.00</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十五、商业服务业等支出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十六、金融支出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十七、援助其他地区支出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十八、自然资源海洋气象等支出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3.06</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3.06</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十九、住房保障支出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70.45</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70.45</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二十、粮油物资储备支出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二十一、国有资本经营预算支出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二十二、灾害防治及应急管理支出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66.43</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66.43</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二十三、其他支出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152.58</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152.58</w:t>
            </w: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二十四、债务还本支出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二十五、债务付息支出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二十六、抗疫特别国债安排的支出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3,237.92</w:t>
            </w: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3,237.92</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3,066.26</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171.66</w:t>
            </w: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年初财政拨款结转和结余</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年末财政拨款结转和结余</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一般公共预算财政拨款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政府性基金预算财政拨款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国有资本经营预算财政拨款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3,237.92</w:t>
            </w: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0"/>
                <w:szCs w:val="20"/>
                <w:u w:val="none"/>
                <w:lang w:val="en-US" w:eastAsia="zh-CN"/>
              </w:rPr>
            </w:pPr>
            <w:r>
              <w:rPr>
                <w:rFonts w:hint="eastAsia" w:ascii="宋体" w:hAnsi="宋体" w:eastAsia="宋体" w:cs="宋体"/>
                <w:color w:val="000000"/>
                <w:sz w:val="21"/>
                <w:szCs w:val="21"/>
                <w:lang w:bidi="ar"/>
              </w:rPr>
              <w:t>3,237.92</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0"/>
                <w:szCs w:val="20"/>
                <w:u w:val="none"/>
                <w:lang w:val="en-US" w:eastAsia="zh-CN"/>
              </w:rPr>
            </w:pPr>
            <w:r>
              <w:rPr>
                <w:rFonts w:hint="eastAsia" w:ascii="宋体" w:hAnsi="宋体" w:eastAsia="宋体" w:cs="宋体"/>
                <w:color w:val="000000"/>
                <w:sz w:val="21"/>
                <w:szCs w:val="21"/>
                <w:lang w:bidi="ar"/>
              </w:rPr>
              <w:t>3,066.26</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0"/>
                <w:szCs w:val="20"/>
                <w:u w:val="none"/>
                <w:lang w:val="en-US" w:eastAsia="zh-CN"/>
              </w:rPr>
            </w:pPr>
            <w:r>
              <w:rPr>
                <w:rFonts w:hint="eastAsia" w:ascii="宋体" w:hAnsi="宋体" w:eastAsia="宋体" w:cs="宋体"/>
                <w:color w:val="000000"/>
                <w:sz w:val="21"/>
                <w:szCs w:val="21"/>
                <w:lang w:bidi="ar"/>
              </w:rPr>
              <w:t>171.66</w:t>
            </w: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bl>
    <w:p>
      <w:pPr>
        <w:rPr>
          <w:rFonts w:hint="eastAsia" w:ascii="宋体" w:hAnsi="宋体" w:eastAsia="宋体" w:cs="宋体"/>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备注：1.本表反映单位本年度一般公共预算财政拨款、政府性基金预算财政拨款及国有资本经营预算财政拨款的总收支和年末结转结余情况。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pPr>
        <w:rPr>
          <w:rFonts w:hint="eastAsia" w:ascii="宋体" w:hAnsi="宋体" w:eastAsia="宋体" w:cs="宋体"/>
          <w:sz w:val="21"/>
          <w:szCs w:val="21"/>
        </w:rPr>
      </w:pPr>
      <w:r>
        <w:rPr>
          <w:rFonts w:hint="eastAsia" w:ascii="宋体" w:hAnsi="宋体" w:eastAsia="宋体" w:cs="宋体"/>
          <w:sz w:val="21"/>
          <w:szCs w:val="21"/>
        </w:rPr>
        <w:br w:type="page"/>
      </w:r>
    </w:p>
    <w:tbl>
      <w:tblPr>
        <w:tblStyle w:val="6"/>
        <w:tblW w:w="22300" w:type="dxa"/>
        <w:tblInd w:w="0" w:type="dxa"/>
        <w:shd w:val="clear" w:color="auto" w:fill="auto"/>
        <w:tblLayout w:type="fixed"/>
        <w:tblCellMar>
          <w:top w:w="0" w:type="dxa"/>
          <w:left w:w="0" w:type="dxa"/>
          <w:bottom w:w="0" w:type="dxa"/>
          <w:right w:w="0" w:type="dxa"/>
        </w:tblCellMar>
      </w:tblPr>
      <w:tblGrid>
        <w:gridCol w:w="2694"/>
        <w:gridCol w:w="5151"/>
        <w:gridCol w:w="4817"/>
        <w:gridCol w:w="4817"/>
        <w:gridCol w:w="4821"/>
      </w:tblGrid>
      <w:tr>
        <w:tblPrEx>
          <w:tblCellMar>
            <w:top w:w="0" w:type="dxa"/>
            <w:left w:w="0" w:type="dxa"/>
            <w:bottom w:w="0" w:type="dxa"/>
            <w:right w:w="0" w:type="dxa"/>
          </w:tblCellMar>
        </w:tblPrEx>
        <w:trPr>
          <w:trHeight w:val="510" w:hRule="atLeast"/>
        </w:trPr>
        <w:tc>
          <w:tcPr>
            <w:tcW w:w="22300" w:type="dxa"/>
            <w:gridSpan w:val="5"/>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一般公共预算财政拨款支出决算表</w:t>
            </w:r>
          </w:p>
        </w:tc>
      </w:tr>
      <w:tr>
        <w:tblPrEx>
          <w:tblCellMar>
            <w:top w:w="0" w:type="dxa"/>
            <w:left w:w="0" w:type="dxa"/>
            <w:bottom w:w="0" w:type="dxa"/>
            <w:right w:w="0" w:type="dxa"/>
          </w:tblCellMar>
        </w:tblPrEx>
        <w:trPr>
          <w:trHeight w:val="255" w:hRule="atLeast"/>
        </w:trPr>
        <w:tc>
          <w:tcPr>
            <w:tcW w:w="7845" w:type="dxa"/>
            <w:gridSpan w:val="2"/>
            <w:vMerge w:val="restart"/>
            <w:tcBorders>
              <w:top w:val="nil"/>
              <w:left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r>
              <w:rPr>
                <w:rFonts w:hint="eastAsia" w:asciiTheme="minorEastAsia" w:hAnsiTheme="minorEastAsia" w:eastAsiaTheme="minorEastAsia" w:cstheme="minorEastAsia"/>
                <w:sz w:val="24"/>
                <w:szCs w:val="24"/>
                <w:lang w:eastAsia="zh-CN"/>
              </w:rPr>
              <w:t>公开单位</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重庆市黔江区城东街道办事处（本级）</w:t>
            </w:r>
          </w:p>
        </w:tc>
        <w:tc>
          <w:tcPr>
            <w:tcW w:w="4817"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4817"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4821"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公开05表</w:t>
            </w:r>
          </w:p>
        </w:tc>
      </w:tr>
      <w:tr>
        <w:tblPrEx>
          <w:tblCellMar>
            <w:top w:w="0" w:type="dxa"/>
            <w:left w:w="0" w:type="dxa"/>
            <w:bottom w:w="0" w:type="dxa"/>
            <w:right w:w="0" w:type="dxa"/>
          </w:tblCellMar>
        </w:tblPrEx>
        <w:trPr>
          <w:trHeight w:val="285" w:hRule="atLeast"/>
        </w:trPr>
        <w:tc>
          <w:tcPr>
            <w:tcW w:w="7845" w:type="dxa"/>
            <w:gridSpan w:val="2"/>
            <w:vMerge w:val="continue"/>
            <w:tcBorders>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4817"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4817"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4821"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tblPrEx>
          <w:tblCellMar>
            <w:top w:w="0" w:type="dxa"/>
            <w:left w:w="0" w:type="dxa"/>
            <w:bottom w:w="0" w:type="dxa"/>
            <w:right w:w="0" w:type="dxa"/>
          </w:tblCellMar>
        </w:tblPrEx>
        <w:trPr>
          <w:trHeight w:val="308" w:hRule="atLeast"/>
        </w:trPr>
        <w:tc>
          <w:tcPr>
            <w:tcW w:w="7845" w:type="dxa"/>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14455" w:type="dxa"/>
            <w:gridSpan w:val="3"/>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w:t>
            </w:r>
          </w:p>
        </w:tc>
      </w:tr>
      <w:tr>
        <w:tblPrEx>
          <w:tblCellMar>
            <w:top w:w="0" w:type="dxa"/>
            <w:left w:w="0" w:type="dxa"/>
            <w:bottom w:w="0" w:type="dxa"/>
            <w:right w:w="0" w:type="dxa"/>
          </w:tblCellMar>
        </w:tblPrEx>
        <w:trPr>
          <w:trHeight w:val="308" w:hRule="atLeast"/>
        </w:trPr>
        <w:tc>
          <w:tcPr>
            <w:tcW w:w="2694"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功能分类科目编码</w:t>
            </w:r>
          </w:p>
        </w:tc>
        <w:tc>
          <w:tcPr>
            <w:tcW w:w="5151"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项目（按“项”级功能分类科目）</w:t>
            </w:r>
          </w:p>
        </w:tc>
        <w:tc>
          <w:tcPr>
            <w:tcW w:w="4817"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4817"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基本支出</w:t>
            </w:r>
          </w:p>
        </w:tc>
        <w:tc>
          <w:tcPr>
            <w:tcW w:w="4821"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项目支出</w:t>
            </w:r>
          </w:p>
        </w:tc>
      </w:tr>
      <w:tr>
        <w:tblPrEx>
          <w:tblCellMar>
            <w:top w:w="0" w:type="dxa"/>
            <w:left w:w="0" w:type="dxa"/>
            <w:bottom w:w="0" w:type="dxa"/>
            <w:right w:w="0" w:type="dxa"/>
          </w:tblCellMar>
        </w:tblPrEx>
        <w:trPr>
          <w:trHeight w:val="278" w:hRule="atLeast"/>
        </w:trPr>
        <w:tc>
          <w:tcPr>
            <w:tcW w:w="2694"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5151"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81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81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821"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tblCellMar>
            <w:top w:w="0" w:type="dxa"/>
            <w:left w:w="0" w:type="dxa"/>
            <w:bottom w:w="0" w:type="dxa"/>
            <w:right w:w="0" w:type="dxa"/>
          </w:tblCellMar>
        </w:tblPrEx>
        <w:trPr>
          <w:trHeight w:val="615" w:hRule="atLeast"/>
        </w:trPr>
        <w:tc>
          <w:tcPr>
            <w:tcW w:w="2694"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5151"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81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81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821"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tblCellMar>
            <w:top w:w="0" w:type="dxa"/>
            <w:left w:w="0" w:type="dxa"/>
            <w:bottom w:w="0" w:type="dxa"/>
            <w:right w:w="0" w:type="dxa"/>
          </w:tblCellMar>
        </w:tblPrEx>
        <w:trPr>
          <w:trHeight w:val="308" w:hRule="atLeast"/>
        </w:trPr>
        <w:tc>
          <w:tcPr>
            <w:tcW w:w="7845" w:type="dxa"/>
            <w:gridSpan w:val="2"/>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3,066.26</w:t>
            </w:r>
            <w:r>
              <w:rPr>
                <w:rFonts w:hint="eastAsia" w:cs="宋体"/>
                <w:b/>
                <w:bCs/>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1,081.19</w:t>
            </w:r>
            <w:r>
              <w:rPr>
                <w:rFonts w:hint="eastAsia" w:cs="宋体"/>
                <w:b/>
                <w:bCs/>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1,985.07</w:t>
            </w:r>
            <w:r>
              <w:rPr>
                <w:rFonts w:hint="eastAsia" w:cs="宋体"/>
                <w:b/>
                <w:bCs/>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一般公共服务支出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1,105.11</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611.55</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493.56</w:t>
            </w:r>
            <w:r>
              <w:rPr>
                <w:rFonts w:hint="eastAsia" w:cs="宋体"/>
                <w:b/>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20101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人大事务</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49.02</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37.22</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11.80</w:t>
            </w:r>
            <w:r>
              <w:rPr>
                <w:rFonts w:hint="eastAsia" w:cs="宋体"/>
                <w:b/>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2010101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行政运行</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37.22</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37.22</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2010102</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一般行政管理事务</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4.00</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4.00</w:t>
            </w: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2010107</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人大代表履职能力提升</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7.80</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7.80</w:t>
            </w: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20103</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政府办公厅（室）及相关机构事务</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781.47</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397.73</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383.74</w:t>
            </w:r>
            <w:r>
              <w:rPr>
                <w:rFonts w:hint="eastAsia" w:cs="宋体"/>
                <w:b/>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2010301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行政运行</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397.73</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397.73</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2010302</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一般行政管理事务</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383.74</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383.74</w:t>
            </w: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20105</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统计信息事务</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89.43</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89.43</w:t>
            </w:r>
            <w:r>
              <w:rPr>
                <w:rFonts w:hint="eastAsia" w:cs="宋体"/>
                <w:b/>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2010507</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专项普查活动</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89.43</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89.43</w:t>
            </w: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20106</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财政事务</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35.03</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35.03</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2010601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行政运行</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35.03</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35.03</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20129</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群众团体事务</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2.58</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2.58</w:t>
            </w:r>
            <w:r>
              <w:rPr>
                <w:rFonts w:hint="eastAsia" w:cs="宋体"/>
                <w:b/>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2012902</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一般行政管理事务</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2.58</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2.58</w:t>
            </w: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20131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党委办公厅（室）及相关机构事务</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147.57</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141.57</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6.00</w:t>
            </w:r>
            <w:r>
              <w:rPr>
                <w:rFonts w:hint="eastAsia" w:cs="宋体"/>
                <w:b/>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2013101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行政运行</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141.57</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141.57</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2013102</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一般行政管理事务</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6.00</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6.00</w:t>
            </w: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204</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公共安全支出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104.66</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104.66</w:t>
            </w:r>
            <w:r>
              <w:rPr>
                <w:rFonts w:hint="eastAsia" w:cs="宋体"/>
                <w:b/>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20402</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公安</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4.66</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4.66</w:t>
            </w:r>
            <w:r>
              <w:rPr>
                <w:rFonts w:hint="eastAsia" w:cs="宋体"/>
                <w:b/>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2040202</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一般行政管理事务</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4.66</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4.66</w:t>
            </w: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20406</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司法</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100.00</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100.00</w:t>
            </w:r>
            <w:r>
              <w:rPr>
                <w:rFonts w:hint="eastAsia" w:cs="宋体"/>
                <w:b/>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2040612</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法治建设</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100.00</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100.00</w:t>
            </w: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207</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文化旅游体育与传媒支出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2.27</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2.27</w:t>
            </w:r>
            <w:r>
              <w:rPr>
                <w:rFonts w:hint="eastAsia" w:cs="宋体"/>
                <w:b/>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20701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文化和旅游</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2.27</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2.27</w:t>
            </w:r>
            <w:r>
              <w:rPr>
                <w:rFonts w:hint="eastAsia" w:cs="宋体"/>
                <w:b/>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2070199</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其他文化和旅游支出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2.27</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2.27</w:t>
            </w: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社会保障和就业支出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219.59</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213.76</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5.84</w:t>
            </w:r>
            <w:r>
              <w:rPr>
                <w:rFonts w:hint="eastAsia" w:cs="宋体"/>
                <w:b/>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20801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人力资源和社会保障管理事务</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0.81</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0.81</w:t>
            </w:r>
            <w:r>
              <w:rPr>
                <w:rFonts w:hint="eastAsia" w:cs="宋体"/>
                <w:b/>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2080199</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其他人力资源和社会保障管理事务支出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0.81</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0.81</w:t>
            </w: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20805</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行政事业单位养老支出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213.76</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213.76</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2080505</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机关事业单位基本养老保险缴费支出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87.58</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87.58</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2080506</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机关事业单位职业年金缴费支出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60.49</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60.49</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2080599</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其他行政事业单位养老支出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65.69</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65.69</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20820</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临时救助</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4.10</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4.10</w:t>
            </w:r>
            <w:r>
              <w:rPr>
                <w:rFonts w:hint="eastAsia" w:cs="宋体"/>
                <w:b/>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2082001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临时救助支出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4.10</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4.10</w:t>
            </w: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20828</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退役军人管理事务</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0.93</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0.93</w:t>
            </w:r>
            <w:r>
              <w:rPr>
                <w:rFonts w:hint="eastAsia" w:cs="宋体"/>
                <w:b/>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2082899</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其他退役军人事务管理支出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0.93</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0.93</w:t>
            </w: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卫生健康支出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119.62</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107.13</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12.49</w:t>
            </w:r>
            <w:r>
              <w:rPr>
                <w:rFonts w:hint="eastAsia" w:cs="宋体"/>
                <w:b/>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21001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卫生健康管理事务</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35.82</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35.82</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2100101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行政运行</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35.82</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35.82</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21004</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公共卫生</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6.00</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6.00</w:t>
            </w:r>
            <w:r>
              <w:rPr>
                <w:rFonts w:hint="eastAsia" w:cs="宋体"/>
                <w:b/>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2100409</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重大公共卫生服务</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6.00</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6.00</w:t>
            </w: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21007</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计划生育事务</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4.20</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4.20</w:t>
            </w:r>
            <w:r>
              <w:rPr>
                <w:rFonts w:hint="eastAsia" w:cs="宋体"/>
                <w:b/>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2100717</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计划生育服务</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4.20</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4.20</w:t>
            </w: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21011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行政事业单位医疗</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71.31</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71.31</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2101101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行政单位医疗</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54.39</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54.39</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2101103</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公务员医疗补助</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6.24</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6.24</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2101199</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其他行政事业单位医疗支出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10.68</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10.68</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21015</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医疗保障管理事务</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2.29</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2.29</w:t>
            </w:r>
            <w:r>
              <w:rPr>
                <w:rFonts w:hint="eastAsia" w:cs="宋体"/>
                <w:b/>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2101506</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医疗保障经办事务</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2.29</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2.29</w:t>
            </w: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节能环保支出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36.53</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28.03</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8.50</w:t>
            </w:r>
            <w:r>
              <w:rPr>
                <w:rFonts w:hint="eastAsia" w:cs="宋体"/>
                <w:b/>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21101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环境保护管理事务</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29.03</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28.03</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1.00</w:t>
            </w:r>
            <w:r>
              <w:rPr>
                <w:rFonts w:hint="eastAsia" w:cs="宋体"/>
                <w:b/>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2110101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行政运行</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28.03</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28.03</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2110102</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一般行政管理事务</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1.00</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1.00</w:t>
            </w: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21103</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污染防治</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1.50</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1.50</w:t>
            </w:r>
            <w:r>
              <w:rPr>
                <w:rFonts w:hint="eastAsia" w:cs="宋体"/>
                <w:b/>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2110399</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其他污染防治支出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1.50</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1.50</w:t>
            </w: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21104</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自然生态保护</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6.00</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6.00</w:t>
            </w:r>
            <w:r>
              <w:rPr>
                <w:rFonts w:hint="eastAsia" w:cs="宋体"/>
                <w:b/>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2110404</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生物及物种资源保护</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6.00</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6.00</w:t>
            </w: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212</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城乡社区支出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451.00</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451.00</w:t>
            </w:r>
            <w:r>
              <w:rPr>
                <w:rFonts w:hint="eastAsia" w:cs="宋体"/>
                <w:b/>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21201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城乡社区管理事务</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91.00</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91.00</w:t>
            </w:r>
            <w:r>
              <w:rPr>
                <w:rFonts w:hint="eastAsia" w:cs="宋体"/>
                <w:b/>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2120104</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城管执法</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91.00</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91.00</w:t>
            </w: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21205</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城乡社区环境卫生</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360.00</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360.00</w:t>
            </w:r>
            <w:r>
              <w:rPr>
                <w:rFonts w:hint="eastAsia" w:cs="宋体"/>
                <w:b/>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2120501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城乡社区环境卫生</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360.00</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360.00</w:t>
            </w: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213</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农林水支出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852.53</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852.53</w:t>
            </w:r>
            <w:r>
              <w:rPr>
                <w:rFonts w:hint="eastAsia" w:cs="宋体"/>
                <w:b/>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21301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农业农村</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11.63</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11.63</w:t>
            </w:r>
            <w:r>
              <w:rPr>
                <w:rFonts w:hint="eastAsia" w:cs="宋体"/>
                <w:b/>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2130111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统计监测与信息服务</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8.64</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8.64</w:t>
            </w: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2130122</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农业生产发展</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0.36</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0.36</w:t>
            </w: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2130124</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农村合作经济</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1.85</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1.85</w:t>
            </w: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2130135</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农业生态资源保护</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0.77</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0.77</w:t>
            </w: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21302</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林业和草原</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351.08</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351.08</w:t>
            </w:r>
            <w:r>
              <w:rPr>
                <w:rFonts w:hint="eastAsia" w:cs="宋体"/>
                <w:b/>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2130205</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森林资源培育</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1.60</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1.60</w:t>
            </w: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2130234</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林业草原防灾减灾</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12.91</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12.91</w:t>
            </w: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2130299</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其他林业和草原支出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336.57</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336.57</w:t>
            </w: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21303</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水利</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10.10</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10.10</w:t>
            </w:r>
            <w:r>
              <w:rPr>
                <w:rFonts w:hint="eastAsia" w:cs="宋体"/>
                <w:b/>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2130316</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农村水利</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10.10</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10.10</w:t>
            </w: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21305</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巩固脱贫攻坚成果衔接乡村振兴</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66.83</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66.83</w:t>
            </w:r>
            <w:r>
              <w:rPr>
                <w:rFonts w:hint="eastAsia" w:cs="宋体"/>
                <w:b/>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2130504</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农村基础设施建设</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44.31</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44.31</w:t>
            </w: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2130505</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生产发展</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18.20</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18.20</w:t>
            </w: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2130506</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社会发展</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4.32</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4.32</w:t>
            </w: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21307</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农村综合改革</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412.90</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412.90</w:t>
            </w:r>
            <w:r>
              <w:rPr>
                <w:rFonts w:hint="eastAsia" w:cs="宋体"/>
                <w:b/>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2130705</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对村民委员会和村党支部的补助</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391.90</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391.90</w:t>
            </w: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2130799</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其他农村综合改革支出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21.00</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21.00</w:t>
            </w: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214</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交通运输支出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30.00</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30.00</w:t>
            </w:r>
            <w:r>
              <w:rPr>
                <w:rFonts w:hint="eastAsia" w:cs="宋体"/>
                <w:b/>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21401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公路水路运输</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30.00</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30.00</w:t>
            </w:r>
            <w:r>
              <w:rPr>
                <w:rFonts w:hint="eastAsia" w:cs="宋体"/>
                <w:b/>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2140104</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公路建设</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30.00</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30.00</w:t>
            </w: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215</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资源勘探工业信息等支出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5.00</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5.00</w:t>
            </w:r>
            <w:r>
              <w:rPr>
                <w:rFonts w:hint="eastAsia" w:cs="宋体"/>
                <w:b/>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21508</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支持中小企业发展和管理支出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5.00</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5.00</w:t>
            </w:r>
            <w:r>
              <w:rPr>
                <w:rFonts w:hint="eastAsia" w:cs="宋体"/>
                <w:b/>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2150805</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中小企业发展专项</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5.00</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5.00</w:t>
            </w: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220</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自然资源海洋气象等支出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3.06</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3.06</w:t>
            </w:r>
            <w:r>
              <w:rPr>
                <w:rFonts w:hint="eastAsia" w:cs="宋体"/>
                <w:b/>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22001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自然资源事务</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3.06</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3.06</w:t>
            </w:r>
            <w:r>
              <w:rPr>
                <w:rFonts w:hint="eastAsia" w:cs="宋体"/>
                <w:b/>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2200106</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自然资源利用与保护</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3.06</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3.06</w:t>
            </w: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住房保障支出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70.45</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70.45</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22102</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住房改革支出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70.45</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70.45</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2210201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住房公积金</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70.45</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70.45</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224</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灾害防治及应急管理支出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66.43</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50.27</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16.16</w:t>
            </w:r>
            <w:r>
              <w:rPr>
                <w:rFonts w:hint="eastAsia" w:cs="宋体"/>
                <w:b/>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22401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应急管理事务</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59.08</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50.27</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8.81</w:t>
            </w:r>
            <w:r>
              <w:rPr>
                <w:rFonts w:hint="eastAsia" w:cs="宋体"/>
                <w:b/>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2240101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行政运行</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50.27</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50.27</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2240102</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一般行政管理事务</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6.21</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6.21</w:t>
            </w: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2240108</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应急救援</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2.60</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2.60</w:t>
            </w: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22406</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自然灾害防治</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7.35</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7.35</w:t>
            </w:r>
            <w:r>
              <w:rPr>
                <w:rFonts w:hint="eastAsia" w:cs="宋体"/>
                <w:b/>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2240699</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其他自然灾害防治支出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7.35</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7.35</w:t>
            </w:r>
            <w:r>
              <w:rPr>
                <w:rFonts w:hint="eastAsia" w:cs="宋体"/>
                <w:b w:val="0"/>
                <w:bCs w:val="0"/>
                <w:color w:val="000000"/>
                <w:sz w:val="21"/>
                <w:szCs w:val="21"/>
                <w:lang w:val="en-US" w:eastAsia="zh-CN" w:bidi="ar"/>
              </w:rPr>
              <w:t xml:space="preserve"> </w:t>
            </w:r>
          </w:p>
        </w:tc>
      </w:tr>
    </w:tbl>
    <w:p>
      <w:pPr>
        <w:rPr>
          <w:rFonts w:hint="eastAsia" w:ascii="宋体" w:hAnsi="宋体" w:eastAsia="宋体" w:cs="宋体"/>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备注：1.本表反映单位本年度一般公共预算财政拨款支出情况。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pPr>
        <w:numPr>
          <w:ilvl w:val="0"/>
          <w:numId w:val="0"/>
        </w:numPr>
        <w:ind w:firstLine="630" w:firstLineChars="300"/>
        <w:rPr>
          <w:rFonts w:hint="eastAsia" w:ascii="宋体" w:hAnsi="宋体" w:eastAsia="宋体" w:cs="宋体"/>
          <w:sz w:val="21"/>
          <w:szCs w:val="21"/>
        </w:rPr>
      </w:pPr>
      <w:r>
        <w:rPr>
          <w:rFonts w:hint="eastAsia" w:ascii="宋体" w:hAnsi="宋体" w:eastAsia="宋体" w:cs="宋体"/>
          <w:sz w:val="21"/>
          <w:szCs w:val="21"/>
        </w:rPr>
        <w:br w:type="page"/>
      </w:r>
    </w:p>
    <w:tbl>
      <w:tblPr>
        <w:tblStyle w:val="6"/>
        <w:tblW w:w="22280" w:type="dxa"/>
        <w:tblInd w:w="0" w:type="dxa"/>
        <w:shd w:val="clear" w:color="auto" w:fill="auto"/>
        <w:tblLayout w:type="fixed"/>
        <w:tblCellMar>
          <w:top w:w="0" w:type="dxa"/>
          <w:left w:w="0" w:type="dxa"/>
          <w:bottom w:w="0" w:type="dxa"/>
          <w:right w:w="0" w:type="dxa"/>
        </w:tblCellMar>
      </w:tblPr>
      <w:tblGrid>
        <w:gridCol w:w="1289"/>
        <w:gridCol w:w="3495"/>
        <w:gridCol w:w="2829"/>
        <w:gridCol w:w="1122"/>
        <w:gridCol w:w="2330"/>
        <w:gridCol w:w="2747"/>
        <w:gridCol w:w="1509"/>
        <w:gridCol w:w="4465"/>
        <w:gridCol w:w="2494"/>
      </w:tblGrid>
      <w:tr>
        <w:tblPrEx>
          <w:shd w:val="clear" w:color="auto" w:fill="auto"/>
          <w:tblCellMar>
            <w:top w:w="0" w:type="dxa"/>
            <w:left w:w="0" w:type="dxa"/>
            <w:bottom w:w="0" w:type="dxa"/>
            <w:right w:w="0" w:type="dxa"/>
          </w:tblCellMar>
        </w:tblPrEx>
        <w:trPr>
          <w:trHeight w:val="590" w:hRule="atLeast"/>
        </w:trPr>
        <w:tc>
          <w:tcPr>
            <w:tcW w:w="22280" w:type="dxa"/>
            <w:gridSpan w:val="9"/>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一般公共预算财政拨款基本支出决算表</w:t>
            </w:r>
          </w:p>
        </w:tc>
      </w:tr>
      <w:tr>
        <w:tblPrEx>
          <w:shd w:val="clear" w:color="auto" w:fill="auto"/>
          <w:tblCellMar>
            <w:top w:w="0" w:type="dxa"/>
            <w:left w:w="0" w:type="dxa"/>
            <w:bottom w:w="0" w:type="dxa"/>
            <w:right w:w="0" w:type="dxa"/>
          </w:tblCellMar>
        </w:tblPrEx>
        <w:trPr>
          <w:trHeight w:val="302" w:hRule="atLeast"/>
        </w:trPr>
        <w:tc>
          <w:tcPr>
            <w:tcW w:w="4784" w:type="dxa"/>
            <w:gridSpan w:val="2"/>
            <w:vMerge w:val="restart"/>
            <w:tcBorders>
              <w:top w:val="nil"/>
              <w:left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r>
              <w:rPr>
                <w:rFonts w:hint="eastAsia" w:asciiTheme="minorEastAsia" w:hAnsiTheme="minorEastAsia" w:eastAsiaTheme="minorEastAsia" w:cstheme="minorEastAsia"/>
                <w:sz w:val="24"/>
                <w:szCs w:val="24"/>
                <w:lang w:eastAsia="zh-CN"/>
              </w:rPr>
              <w:t>公开单位</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重庆市黔江区城东街道办事处（本级）</w:t>
            </w:r>
          </w:p>
        </w:tc>
        <w:tc>
          <w:tcPr>
            <w:tcW w:w="2829"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1122"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33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747"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1509"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446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494"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公开06表</w:t>
            </w:r>
          </w:p>
        </w:tc>
      </w:tr>
      <w:tr>
        <w:tblPrEx>
          <w:shd w:val="clear" w:color="auto" w:fill="auto"/>
          <w:tblCellMar>
            <w:top w:w="0" w:type="dxa"/>
            <w:left w:w="0" w:type="dxa"/>
            <w:bottom w:w="0" w:type="dxa"/>
            <w:right w:w="0" w:type="dxa"/>
          </w:tblCellMar>
        </w:tblPrEx>
        <w:trPr>
          <w:trHeight w:val="302" w:hRule="atLeast"/>
        </w:trPr>
        <w:tc>
          <w:tcPr>
            <w:tcW w:w="4784" w:type="dxa"/>
            <w:gridSpan w:val="2"/>
            <w:vMerge w:val="continue"/>
            <w:tcBorders>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829"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1122"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33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747"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1509"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446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494"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tblPrEx>
          <w:shd w:val="clear" w:color="auto" w:fill="auto"/>
          <w:tblCellMar>
            <w:top w:w="0" w:type="dxa"/>
            <w:left w:w="0" w:type="dxa"/>
            <w:bottom w:w="0" w:type="dxa"/>
            <w:right w:w="0" w:type="dxa"/>
          </w:tblCellMar>
        </w:tblPrEx>
        <w:trPr>
          <w:trHeight w:val="311" w:hRule="atLeast"/>
        </w:trPr>
        <w:tc>
          <w:tcPr>
            <w:tcW w:w="7613" w:type="dxa"/>
            <w:gridSpan w:val="3"/>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人员经费</w:t>
            </w:r>
          </w:p>
        </w:tc>
        <w:tc>
          <w:tcPr>
            <w:tcW w:w="14667" w:type="dxa"/>
            <w:gridSpan w:val="6"/>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公用经费</w:t>
            </w:r>
          </w:p>
        </w:tc>
      </w:tr>
      <w:tr>
        <w:tblPrEx>
          <w:shd w:val="clear" w:color="auto" w:fill="auto"/>
          <w:tblCellMar>
            <w:top w:w="0" w:type="dxa"/>
            <w:left w:w="0" w:type="dxa"/>
            <w:bottom w:w="0" w:type="dxa"/>
            <w:right w:w="0" w:type="dxa"/>
          </w:tblCellMar>
        </w:tblPrEx>
        <w:trPr>
          <w:trHeight w:val="312" w:hRule="atLeast"/>
        </w:trPr>
        <w:tc>
          <w:tcPr>
            <w:tcW w:w="1289"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经济分类科目编码</w:t>
            </w:r>
          </w:p>
        </w:tc>
        <w:tc>
          <w:tcPr>
            <w:tcW w:w="349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经济分类科目（按“款”级功能分类科目）</w:t>
            </w:r>
          </w:p>
        </w:tc>
        <w:tc>
          <w:tcPr>
            <w:tcW w:w="2829"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cs="宋体"/>
                <w:b/>
                <w:i w:val="0"/>
                <w:color w:val="000000"/>
                <w:kern w:val="0"/>
                <w:sz w:val="22"/>
                <w:szCs w:val="22"/>
                <w:u w:val="none"/>
                <w:lang w:val="en-US" w:eastAsia="zh-CN" w:bidi="ar"/>
              </w:rPr>
              <w:t>金额</w:t>
            </w:r>
          </w:p>
        </w:tc>
        <w:tc>
          <w:tcPr>
            <w:tcW w:w="1122"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经济分类科目编码</w:t>
            </w:r>
          </w:p>
        </w:tc>
        <w:tc>
          <w:tcPr>
            <w:tcW w:w="233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经济分类科目（按“款”级功能分类科目）</w:t>
            </w:r>
          </w:p>
        </w:tc>
        <w:tc>
          <w:tcPr>
            <w:tcW w:w="2747"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cs="宋体"/>
                <w:b/>
                <w:i w:val="0"/>
                <w:color w:val="000000"/>
                <w:kern w:val="0"/>
                <w:sz w:val="22"/>
                <w:szCs w:val="22"/>
                <w:u w:val="none"/>
                <w:lang w:val="en-US" w:eastAsia="zh-CN" w:bidi="ar"/>
              </w:rPr>
              <w:t>金额</w:t>
            </w:r>
          </w:p>
        </w:tc>
        <w:tc>
          <w:tcPr>
            <w:tcW w:w="1509"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经济分类科目编码</w:t>
            </w:r>
          </w:p>
        </w:tc>
        <w:tc>
          <w:tcPr>
            <w:tcW w:w="446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经济分类科目（按“款”级功能分类科目）</w:t>
            </w:r>
          </w:p>
        </w:tc>
        <w:tc>
          <w:tcPr>
            <w:tcW w:w="2494"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cs="宋体"/>
                <w:b/>
                <w:i w:val="0"/>
                <w:color w:val="000000"/>
                <w:kern w:val="0"/>
                <w:sz w:val="22"/>
                <w:szCs w:val="22"/>
                <w:u w:val="none"/>
                <w:lang w:val="en-US" w:eastAsia="zh-CN" w:bidi="ar"/>
              </w:rPr>
              <w:t>金额</w:t>
            </w:r>
          </w:p>
        </w:tc>
      </w:tr>
      <w:tr>
        <w:tblPrEx>
          <w:shd w:val="clear" w:color="auto" w:fill="auto"/>
          <w:tblCellMar>
            <w:top w:w="0" w:type="dxa"/>
            <w:left w:w="0" w:type="dxa"/>
            <w:bottom w:w="0" w:type="dxa"/>
            <w:right w:w="0" w:type="dxa"/>
          </w:tblCellMar>
        </w:tblPrEx>
        <w:trPr>
          <w:trHeight w:val="799" w:hRule="atLeast"/>
        </w:trPr>
        <w:tc>
          <w:tcPr>
            <w:tcW w:w="128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349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829"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122"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33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4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50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46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494"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工资福利支出</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918.14</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商品和服务支出</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89.79</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资本性支出</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30101</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基本工资</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204.71</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30201</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办公费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2.49</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31001</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房屋建筑物购建</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30102</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津贴补贴</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145.35</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30202</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印刷费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0.45</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31002</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办公设备购置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30103</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奖金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253.29</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30203</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咨询费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31003</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专用设备购置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30106</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伙食补助费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26.02</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30204</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手续费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31005</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基础设施建设</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30107</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绩效工资</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30205</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水费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0.99</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31006</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大型修缮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33"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30108</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机关事业单位基本养老保险缴费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87.58</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30206</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电费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9.90</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31007</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信息网络及软件购置更新</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30109</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职业年金缴费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60.49</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30207</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邮电费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4.70</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31008</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物资储备</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64"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30110</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职工基本医疗保险缴费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54.39</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30208</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取暖费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土地补偿</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30111</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公务员医疗补助缴费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30209</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物业管理费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31010</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安置补助</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33"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30112</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其他社会保障缴费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6.52</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30211</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差旅费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1.28</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31011</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地上附着物和青苗补偿</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30113</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住房公积金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70.45</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30212</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因公出国（境）费用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31012</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拆迁补偿</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30114</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医疗费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9.36</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30213</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维修（护）费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31013</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公务用车购置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30199</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其他工资福利支出</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30214</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租赁费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其他交通工具购置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对个人和家庭的补助</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73.25</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30215</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会议费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31021</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文物和陈列品购置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30301</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离休费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30216</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培训费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5.62</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31022</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无形资产购置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30302</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退休费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30217</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公务接待费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3.20</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31099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其他资本性支出</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30303</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退职（役）费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30218</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专用材料费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对企业补助</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30304</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抚恤金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30224</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被装购置费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31201</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资本金注入</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30305</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生活补助</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61.22</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30225</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专用燃料费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31203</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政府投资基金股权投资</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30306</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救济费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30226</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劳务费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0.11</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31204</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费用补贴</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30307</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医疗费补助</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7.56</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30227</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委托业务费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31205</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利息补贴</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30308</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助学金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30228</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工会经费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9.00</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31299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其他对企业补助</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30309</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奖励金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4.47</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30229</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福利费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7.49</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其他支出</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30310</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个人农业生产补贴</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30231</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公务用车运行维护费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5.19</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39907</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国家赔偿费用支出</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30311</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代缴社会保险费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30239</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其他交通费用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39.38</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39908</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对民间非营利组织和群众性自治组织补贴</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30399</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其他对个人和家庭的补助</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30240</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税金及附加费用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39909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经常性赠与</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30299</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其他商品和服务支出</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39910</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资本性赠与</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债务利息及费用支出</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39999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其他支出</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30701</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国内债务付息</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30702</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国外债务付息</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30703</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国内债务发行费用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30704</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国外债务发行费用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321" w:hRule="atLeast"/>
        </w:trPr>
        <w:tc>
          <w:tcPr>
            <w:tcW w:w="4784" w:type="dxa"/>
            <w:gridSpan w:val="2"/>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人员经费合计</w:t>
            </w:r>
          </w:p>
        </w:tc>
        <w:tc>
          <w:tcPr>
            <w:tcW w:w="282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ascii="宋体" w:hAnsi="宋体" w:eastAsia="宋体" w:cs="宋体"/>
                <w:color w:val="000000"/>
                <w:sz w:val="21"/>
                <w:szCs w:val="21"/>
                <w:lang w:bidi="ar"/>
              </w:rPr>
              <w:t>991.40</w:t>
            </w:r>
            <w:r>
              <w:rPr>
                <w:rFonts w:hint="eastAsia" w:cs="宋体"/>
                <w:color w:val="000000"/>
                <w:sz w:val="21"/>
                <w:szCs w:val="21"/>
                <w:lang w:val="en-US" w:eastAsia="zh-CN" w:bidi="ar"/>
              </w:rPr>
              <w:t xml:space="preserve"> </w:t>
            </w:r>
          </w:p>
        </w:tc>
        <w:tc>
          <w:tcPr>
            <w:tcW w:w="12173" w:type="dxa"/>
            <w:gridSpan w:val="5"/>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公用经费合计</w:t>
            </w:r>
          </w:p>
        </w:tc>
        <w:tc>
          <w:tcPr>
            <w:tcW w:w="249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89.79</w:t>
            </w:r>
            <w:r>
              <w:rPr>
                <w:rFonts w:hint="eastAsia" w:cs="宋体"/>
                <w:color w:val="000000"/>
                <w:sz w:val="21"/>
                <w:szCs w:val="21"/>
                <w:lang w:val="en-US" w:eastAsia="zh-CN" w:bidi="ar"/>
              </w:rPr>
              <w:t xml:space="preserve"> </w:t>
            </w:r>
          </w:p>
        </w:tc>
      </w:tr>
    </w:tbl>
    <w:p>
      <w:pPr>
        <w:rPr>
          <w:rFonts w:hint="eastAsia" w:ascii="宋体" w:hAnsi="宋体" w:eastAsia="宋体" w:cs="宋体"/>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备注：1.本表反映单位本年度一般公共预算财政拨款基本支出明细情况。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pPr>
        <w:rPr>
          <w:rFonts w:hint="eastAsia" w:ascii="宋体" w:hAnsi="宋体" w:eastAsia="宋体" w:cs="宋体"/>
          <w:sz w:val="21"/>
          <w:szCs w:val="21"/>
        </w:rPr>
      </w:pPr>
      <w:r>
        <w:rPr>
          <w:rFonts w:hint="eastAsia" w:ascii="宋体" w:hAnsi="宋体" w:eastAsia="宋体" w:cs="宋体"/>
          <w:sz w:val="21"/>
          <w:szCs w:val="21"/>
        </w:rPr>
        <w:br w:type="page"/>
      </w:r>
    </w:p>
    <w:tbl>
      <w:tblPr>
        <w:tblStyle w:val="6"/>
        <w:tblW w:w="22240" w:type="dxa"/>
        <w:tblInd w:w="0" w:type="dxa"/>
        <w:shd w:val="clear" w:color="auto" w:fill="auto"/>
        <w:tblLayout w:type="fixed"/>
        <w:tblCellMar>
          <w:top w:w="0" w:type="dxa"/>
          <w:left w:w="0" w:type="dxa"/>
          <w:bottom w:w="0" w:type="dxa"/>
          <w:right w:w="0" w:type="dxa"/>
        </w:tblCellMar>
      </w:tblPr>
      <w:tblGrid>
        <w:gridCol w:w="2686"/>
        <w:gridCol w:w="4465"/>
        <w:gridCol w:w="2473"/>
        <w:gridCol w:w="2473"/>
        <w:gridCol w:w="2473"/>
        <w:gridCol w:w="2473"/>
        <w:gridCol w:w="2558"/>
        <w:gridCol w:w="2639"/>
      </w:tblGrid>
      <w:tr>
        <w:tblPrEx>
          <w:tblCellMar>
            <w:top w:w="0" w:type="dxa"/>
            <w:left w:w="0" w:type="dxa"/>
            <w:bottom w:w="0" w:type="dxa"/>
            <w:right w:w="0" w:type="dxa"/>
          </w:tblCellMar>
        </w:tblPrEx>
        <w:trPr>
          <w:trHeight w:val="644" w:hRule="atLeast"/>
        </w:trPr>
        <w:tc>
          <w:tcPr>
            <w:tcW w:w="22240" w:type="dxa"/>
            <w:gridSpan w:val="8"/>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政府性基金预算财政拨款收入支出决算表</w:t>
            </w:r>
          </w:p>
        </w:tc>
      </w:tr>
      <w:tr>
        <w:tblPrEx>
          <w:shd w:val="clear" w:color="auto" w:fill="auto"/>
          <w:tblCellMar>
            <w:top w:w="0" w:type="dxa"/>
            <w:left w:w="0" w:type="dxa"/>
            <w:bottom w:w="0" w:type="dxa"/>
            <w:right w:w="0" w:type="dxa"/>
          </w:tblCellMar>
        </w:tblPrEx>
        <w:trPr>
          <w:trHeight w:val="329" w:hRule="atLeast"/>
        </w:trPr>
        <w:tc>
          <w:tcPr>
            <w:tcW w:w="7151" w:type="dxa"/>
            <w:gridSpan w:val="2"/>
            <w:vMerge w:val="restart"/>
            <w:tcBorders>
              <w:top w:val="nil"/>
              <w:left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r>
              <w:rPr>
                <w:rFonts w:hint="eastAsia" w:asciiTheme="minorEastAsia" w:hAnsiTheme="minorEastAsia" w:eastAsiaTheme="minorEastAsia" w:cstheme="minorEastAsia"/>
                <w:sz w:val="24"/>
                <w:szCs w:val="24"/>
                <w:lang w:eastAsia="zh-CN"/>
              </w:rPr>
              <w:t>公开单位</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重庆市黔江区城东街道办事处（本级）</w:t>
            </w:r>
          </w:p>
        </w:tc>
        <w:tc>
          <w:tcPr>
            <w:tcW w:w="247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558"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639"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公开07表</w:t>
            </w:r>
          </w:p>
        </w:tc>
      </w:tr>
      <w:tr>
        <w:tblPrEx>
          <w:tblCellMar>
            <w:top w:w="0" w:type="dxa"/>
            <w:left w:w="0" w:type="dxa"/>
            <w:bottom w:w="0" w:type="dxa"/>
            <w:right w:w="0" w:type="dxa"/>
          </w:tblCellMar>
        </w:tblPrEx>
        <w:trPr>
          <w:trHeight w:val="329" w:hRule="atLeast"/>
        </w:trPr>
        <w:tc>
          <w:tcPr>
            <w:tcW w:w="7151" w:type="dxa"/>
            <w:gridSpan w:val="2"/>
            <w:vMerge w:val="continue"/>
            <w:tcBorders>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558"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639"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tblPrEx>
          <w:tblCellMar>
            <w:top w:w="0" w:type="dxa"/>
            <w:left w:w="0" w:type="dxa"/>
            <w:bottom w:w="0" w:type="dxa"/>
            <w:right w:w="0" w:type="dxa"/>
          </w:tblCellMar>
        </w:tblPrEx>
        <w:trPr>
          <w:trHeight w:val="339" w:hRule="atLeast"/>
        </w:trPr>
        <w:tc>
          <w:tcPr>
            <w:tcW w:w="7151" w:type="dxa"/>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2473"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年初结转和结余</w:t>
            </w:r>
          </w:p>
        </w:tc>
        <w:tc>
          <w:tcPr>
            <w:tcW w:w="247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w:t>
            </w:r>
          </w:p>
        </w:tc>
        <w:tc>
          <w:tcPr>
            <w:tcW w:w="7504" w:type="dxa"/>
            <w:gridSpan w:val="3"/>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w:t>
            </w:r>
          </w:p>
        </w:tc>
        <w:tc>
          <w:tcPr>
            <w:tcW w:w="2639"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年末结转和结余</w:t>
            </w:r>
          </w:p>
        </w:tc>
      </w:tr>
      <w:tr>
        <w:tblPrEx>
          <w:tblCellMar>
            <w:top w:w="0" w:type="dxa"/>
            <w:left w:w="0" w:type="dxa"/>
            <w:bottom w:w="0" w:type="dxa"/>
            <w:right w:w="0" w:type="dxa"/>
          </w:tblCellMar>
        </w:tblPrEx>
        <w:trPr>
          <w:trHeight w:val="335" w:hRule="atLeast"/>
        </w:trPr>
        <w:tc>
          <w:tcPr>
            <w:tcW w:w="2686"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功能分类科目编码</w:t>
            </w:r>
          </w:p>
        </w:tc>
        <w:tc>
          <w:tcPr>
            <w:tcW w:w="4465"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项目（按“项”级功能分类科目）</w:t>
            </w:r>
          </w:p>
        </w:tc>
        <w:tc>
          <w:tcPr>
            <w:tcW w:w="2473"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47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473"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2473"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基本支出</w:t>
            </w:r>
          </w:p>
        </w:tc>
        <w:tc>
          <w:tcPr>
            <w:tcW w:w="2558"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项目支出</w:t>
            </w:r>
          </w:p>
        </w:tc>
        <w:tc>
          <w:tcPr>
            <w:tcW w:w="263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tblCellMar>
            <w:top w:w="0" w:type="dxa"/>
            <w:left w:w="0" w:type="dxa"/>
            <w:bottom w:w="0" w:type="dxa"/>
            <w:right w:w="0" w:type="dxa"/>
          </w:tblCellMar>
        </w:tblPrEx>
        <w:trPr>
          <w:trHeight w:val="335" w:hRule="atLeast"/>
        </w:trPr>
        <w:tc>
          <w:tcPr>
            <w:tcW w:w="268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465"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473"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47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47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47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558"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63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tblCellMar>
            <w:top w:w="0" w:type="dxa"/>
            <w:left w:w="0" w:type="dxa"/>
            <w:bottom w:w="0" w:type="dxa"/>
            <w:right w:w="0" w:type="dxa"/>
          </w:tblCellMar>
        </w:tblPrEx>
        <w:trPr>
          <w:trHeight w:val="645" w:hRule="atLeast"/>
        </w:trPr>
        <w:tc>
          <w:tcPr>
            <w:tcW w:w="268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465"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473"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47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47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47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558"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63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tblCellMar>
            <w:top w:w="0" w:type="dxa"/>
            <w:left w:w="0" w:type="dxa"/>
            <w:bottom w:w="0" w:type="dxa"/>
            <w:right w:w="0" w:type="dxa"/>
          </w:tblCellMar>
        </w:tblPrEx>
        <w:trPr>
          <w:trHeight w:val="339" w:hRule="atLeast"/>
        </w:trPr>
        <w:tc>
          <w:tcPr>
            <w:tcW w:w="7151" w:type="dxa"/>
            <w:gridSpan w:val="2"/>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171.66</w:t>
            </w:r>
            <w:r>
              <w:rPr>
                <w:rFonts w:hint="eastAsia" w:cs="宋体"/>
                <w:b/>
                <w:bCs/>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171.66</w:t>
            </w:r>
            <w:r>
              <w:rPr>
                <w:rFonts w:hint="eastAsia" w:cs="宋体"/>
                <w:b/>
                <w:bCs/>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171.66</w:t>
            </w:r>
            <w:r>
              <w:rPr>
                <w:rFonts w:hint="eastAsia" w:cs="宋体"/>
                <w:b/>
                <w:bCs/>
                <w:color w:val="000000"/>
                <w:sz w:val="21"/>
                <w:szCs w:val="21"/>
                <w:lang w:val="en-US" w:eastAsia="zh-CN" w:bidi="ar"/>
              </w:rPr>
              <w:t xml:space="preserve"> </w:t>
            </w:r>
          </w:p>
        </w:tc>
        <w:tc>
          <w:tcPr>
            <w:tcW w:w="26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r>
      <w:tr>
        <w:tblPrEx>
          <w:tblCellMar>
            <w:top w:w="0" w:type="dxa"/>
            <w:left w:w="0" w:type="dxa"/>
            <w:bottom w:w="0" w:type="dxa"/>
            <w:right w:w="0" w:type="dxa"/>
          </w:tblCellMar>
        </w:tblPrEx>
        <w:trPr>
          <w:trHeight w:val="349" w:hRule="atLeast"/>
        </w:trPr>
        <w:tc>
          <w:tcPr>
            <w:tcW w:w="268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212</w:t>
            </w:r>
          </w:p>
        </w:tc>
        <w:tc>
          <w:tcPr>
            <w:tcW w:w="44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城乡社区支出</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color w:val="000000"/>
                <w:sz w:val="21"/>
                <w:szCs w:val="21"/>
                <w:lang w:bidi="ar"/>
              </w:rPr>
              <w:t>19.08</w:t>
            </w:r>
            <w:r>
              <w:rPr>
                <w:rFonts w:hint="eastAsia" w:cs="宋体"/>
                <w:b/>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color w:val="000000"/>
                <w:sz w:val="21"/>
                <w:szCs w:val="21"/>
                <w:lang w:bidi="ar"/>
              </w:rPr>
              <w:t>19.08</w:t>
            </w:r>
            <w:r>
              <w:rPr>
                <w:rFonts w:hint="eastAsia" w:cs="宋体"/>
                <w:b/>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2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color w:val="000000"/>
                <w:sz w:val="21"/>
                <w:szCs w:val="21"/>
                <w:lang w:bidi="ar"/>
              </w:rPr>
              <w:t>19.08</w:t>
            </w:r>
            <w:r>
              <w:rPr>
                <w:rFonts w:hint="eastAsia" w:cs="宋体"/>
                <w:b/>
                <w:color w:val="000000"/>
                <w:sz w:val="21"/>
                <w:szCs w:val="21"/>
                <w:lang w:val="en-US" w:eastAsia="zh-CN" w:bidi="ar"/>
              </w:rPr>
              <w:t xml:space="preserve"> </w:t>
            </w:r>
          </w:p>
        </w:tc>
        <w:tc>
          <w:tcPr>
            <w:tcW w:w="26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9" w:hRule="atLeast"/>
        </w:trPr>
        <w:tc>
          <w:tcPr>
            <w:tcW w:w="268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21208</w:t>
            </w:r>
          </w:p>
        </w:tc>
        <w:tc>
          <w:tcPr>
            <w:tcW w:w="44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国有土地使用权出让收入安排的支出</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color w:val="000000"/>
                <w:sz w:val="21"/>
                <w:szCs w:val="21"/>
                <w:lang w:bidi="ar"/>
              </w:rPr>
              <w:t>19.08</w:t>
            </w:r>
            <w:r>
              <w:rPr>
                <w:rFonts w:hint="eastAsia" w:cs="宋体"/>
                <w:b/>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color w:val="000000"/>
                <w:sz w:val="21"/>
                <w:szCs w:val="21"/>
                <w:lang w:bidi="ar"/>
              </w:rPr>
              <w:t>19.08</w:t>
            </w:r>
            <w:r>
              <w:rPr>
                <w:rFonts w:hint="eastAsia" w:cs="宋体"/>
                <w:b/>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2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color w:val="000000"/>
                <w:sz w:val="21"/>
                <w:szCs w:val="21"/>
                <w:lang w:bidi="ar"/>
              </w:rPr>
              <w:t>19.08</w:t>
            </w:r>
            <w:r>
              <w:rPr>
                <w:rFonts w:hint="eastAsia" w:cs="宋体"/>
                <w:b/>
                <w:color w:val="000000"/>
                <w:sz w:val="21"/>
                <w:szCs w:val="21"/>
                <w:lang w:val="en-US" w:eastAsia="zh-CN" w:bidi="ar"/>
              </w:rPr>
              <w:t xml:space="preserve"> </w:t>
            </w:r>
          </w:p>
        </w:tc>
        <w:tc>
          <w:tcPr>
            <w:tcW w:w="26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9" w:hRule="atLeast"/>
        </w:trPr>
        <w:tc>
          <w:tcPr>
            <w:tcW w:w="268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2120899</w:t>
            </w:r>
          </w:p>
        </w:tc>
        <w:tc>
          <w:tcPr>
            <w:tcW w:w="44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其他国有土地使用权出让收入安排的支出</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color w:val="000000"/>
                <w:sz w:val="21"/>
                <w:szCs w:val="21"/>
                <w:lang w:bidi="ar"/>
              </w:rPr>
              <w:t>19.08</w:t>
            </w:r>
            <w:r>
              <w:rPr>
                <w:rFonts w:hint="eastAsia" w:cs="宋体"/>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color w:val="000000"/>
                <w:sz w:val="21"/>
                <w:szCs w:val="21"/>
                <w:lang w:bidi="ar"/>
              </w:rPr>
              <w:t>19.08</w:t>
            </w:r>
            <w:r>
              <w:rPr>
                <w:rFonts w:hint="eastAsia" w:cs="宋体"/>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2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color w:val="000000"/>
                <w:sz w:val="21"/>
                <w:szCs w:val="21"/>
                <w:lang w:bidi="ar"/>
              </w:rPr>
              <w:t>19.08</w:t>
            </w:r>
            <w:r>
              <w:rPr>
                <w:rFonts w:hint="eastAsia" w:cs="宋体"/>
                <w:color w:val="000000"/>
                <w:sz w:val="21"/>
                <w:szCs w:val="21"/>
                <w:lang w:val="en-US" w:eastAsia="zh-CN" w:bidi="ar"/>
              </w:rPr>
              <w:t xml:space="preserve"> </w:t>
            </w:r>
          </w:p>
        </w:tc>
        <w:tc>
          <w:tcPr>
            <w:tcW w:w="26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9" w:hRule="atLeast"/>
        </w:trPr>
        <w:tc>
          <w:tcPr>
            <w:tcW w:w="268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229</w:t>
            </w:r>
          </w:p>
        </w:tc>
        <w:tc>
          <w:tcPr>
            <w:tcW w:w="44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其他支出</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color w:val="000000"/>
                <w:sz w:val="21"/>
                <w:szCs w:val="21"/>
                <w:lang w:bidi="ar"/>
              </w:rPr>
              <w:t>152.58</w:t>
            </w:r>
            <w:r>
              <w:rPr>
                <w:rFonts w:hint="eastAsia" w:cs="宋体"/>
                <w:b/>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color w:val="000000"/>
                <w:sz w:val="21"/>
                <w:szCs w:val="21"/>
                <w:lang w:bidi="ar"/>
              </w:rPr>
              <w:t>152.58</w:t>
            </w:r>
            <w:r>
              <w:rPr>
                <w:rFonts w:hint="eastAsia" w:cs="宋体"/>
                <w:b/>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2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color w:val="000000"/>
                <w:sz w:val="21"/>
                <w:szCs w:val="21"/>
                <w:lang w:bidi="ar"/>
              </w:rPr>
              <w:t>152.58</w:t>
            </w:r>
            <w:r>
              <w:rPr>
                <w:rFonts w:hint="eastAsia" w:cs="宋体"/>
                <w:b/>
                <w:color w:val="000000"/>
                <w:sz w:val="21"/>
                <w:szCs w:val="21"/>
                <w:lang w:val="en-US" w:eastAsia="zh-CN" w:bidi="ar"/>
              </w:rPr>
              <w:t xml:space="preserve"> </w:t>
            </w:r>
          </w:p>
        </w:tc>
        <w:tc>
          <w:tcPr>
            <w:tcW w:w="26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9" w:hRule="atLeast"/>
        </w:trPr>
        <w:tc>
          <w:tcPr>
            <w:tcW w:w="268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22960</w:t>
            </w:r>
          </w:p>
        </w:tc>
        <w:tc>
          <w:tcPr>
            <w:tcW w:w="44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彩票公益金安排的支出</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color w:val="000000"/>
                <w:sz w:val="21"/>
                <w:szCs w:val="21"/>
                <w:lang w:bidi="ar"/>
              </w:rPr>
              <w:t>152.58</w:t>
            </w:r>
            <w:r>
              <w:rPr>
                <w:rFonts w:hint="eastAsia" w:cs="宋体"/>
                <w:b/>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color w:val="000000"/>
                <w:sz w:val="21"/>
                <w:szCs w:val="21"/>
                <w:lang w:bidi="ar"/>
              </w:rPr>
              <w:t>152.58</w:t>
            </w:r>
            <w:r>
              <w:rPr>
                <w:rFonts w:hint="eastAsia" w:cs="宋体"/>
                <w:b/>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2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color w:val="000000"/>
                <w:sz w:val="21"/>
                <w:szCs w:val="21"/>
                <w:lang w:bidi="ar"/>
              </w:rPr>
              <w:t>152.58</w:t>
            </w:r>
            <w:r>
              <w:rPr>
                <w:rFonts w:hint="eastAsia" w:cs="宋体"/>
                <w:b/>
                <w:color w:val="000000"/>
                <w:sz w:val="21"/>
                <w:szCs w:val="21"/>
                <w:lang w:val="en-US" w:eastAsia="zh-CN" w:bidi="ar"/>
              </w:rPr>
              <w:t xml:space="preserve"> </w:t>
            </w:r>
          </w:p>
        </w:tc>
        <w:tc>
          <w:tcPr>
            <w:tcW w:w="26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9" w:hRule="atLeast"/>
        </w:trPr>
        <w:tc>
          <w:tcPr>
            <w:tcW w:w="268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2296002</w:t>
            </w:r>
          </w:p>
        </w:tc>
        <w:tc>
          <w:tcPr>
            <w:tcW w:w="44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用于社会福利的彩票公益金支出</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color w:val="000000"/>
                <w:sz w:val="21"/>
                <w:szCs w:val="21"/>
                <w:lang w:bidi="ar"/>
              </w:rPr>
              <w:t>149.85</w:t>
            </w:r>
            <w:r>
              <w:rPr>
                <w:rFonts w:hint="eastAsia" w:cs="宋体"/>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color w:val="000000"/>
                <w:sz w:val="21"/>
                <w:szCs w:val="21"/>
                <w:lang w:bidi="ar"/>
              </w:rPr>
              <w:t>149.85</w:t>
            </w:r>
            <w:r>
              <w:rPr>
                <w:rFonts w:hint="eastAsia" w:cs="宋体"/>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2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color w:val="000000"/>
                <w:sz w:val="21"/>
                <w:szCs w:val="21"/>
                <w:lang w:bidi="ar"/>
              </w:rPr>
              <w:t>149.85</w:t>
            </w:r>
            <w:r>
              <w:rPr>
                <w:rFonts w:hint="eastAsia" w:cs="宋体"/>
                <w:color w:val="000000"/>
                <w:sz w:val="21"/>
                <w:szCs w:val="21"/>
                <w:lang w:val="en-US" w:eastAsia="zh-CN" w:bidi="ar"/>
              </w:rPr>
              <w:t xml:space="preserve"> </w:t>
            </w:r>
          </w:p>
        </w:tc>
        <w:tc>
          <w:tcPr>
            <w:tcW w:w="26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9" w:hRule="atLeast"/>
        </w:trPr>
        <w:tc>
          <w:tcPr>
            <w:tcW w:w="268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2296099</w:t>
            </w:r>
          </w:p>
        </w:tc>
        <w:tc>
          <w:tcPr>
            <w:tcW w:w="44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用于其他社会公益事业的彩票公益金支出</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color w:val="000000"/>
                <w:sz w:val="21"/>
                <w:szCs w:val="21"/>
                <w:lang w:bidi="ar"/>
              </w:rPr>
              <w:t>2.73</w:t>
            </w:r>
            <w:r>
              <w:rPr>
                <w:rFonts w:hint="eastAsia" w:cs="宋体"/>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color w:val="000000"/>
                <w:sz w:val="21"/>
                <w:szCs w:val="21"/>
                <w:lang w:bidi="ar"/>
              </w:rPr>
              <w:t>2.73</w:t>
            </w:r>
            <w:r>
              <w:rPr>
                <w:rFonts w:hint="eastAsia" w:cs="宋体"/>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2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color w:val="000000"/>
                <w:sz w:val="21"/>
                <w:szCs w:val="21"/>
                <w:lang w:bidi="ar"/>
              </w:rPr>
              <w:t>2.73</w:t>
            </w:r>
            <w:r>
              <w:rPr>
                <w:rFonts w:hint="eastAsia" w:cs="宋体"/>
                <w:color w:val="000000"/>
                <w:sz w:val="21"/>
                <w:szCs w:val="21"/>
                <w:lang w:val="en-US" w:eastAsia="zh-CN" w:bidi="ar"/>
              </w:rPr>
              <w:t xml:space="preserve"> </w:t>
            </w:r>
          </w:p>
        </w:tc>
        <w:tc>
          <w:tcPr>
            <w:tcW w:w="26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r>
    </w:tbl>
    <w:p>
      <w:pPr>
        <w:rPr>
          <w:rFonts w:hint="eastAsia" w:ascii="宋体" w:hAnsi="宋体" w:eastAsia="宋体" w:cs="宋体"/>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备注：1.本表反映单位本年度政府性基金预算财政拨款收入支出及结转和结余情况。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pPr>
        <w:rPr>
          <w:rFonts w:hint="eastAsia" w:ascii="宋体" w:hAnsi="宋体" w:eastAsia="宋体" w:cs="宋体"/>
          <w:sz w:val="21"/>
          <w:szCs w:val="21"/>
        </w:rPr>
      </w:pPr>
      <w:r>
        <w:rPr>
          <w:rFonts w:hint="eastAsia" w:ascii="宋体" w:hAnsi="宋体" w:eastAsia="宋体" w:cs="宋体"/>
          <w:sz w:val="21"/>
          <w:szCs w:val="21"/>
        </w:rPr>
        <w:br w:type="page"/>
      </w:r>
    </w:p>
    <w:tbl>
      <w:tblPr>
        <w:tblStyle w:val="6"/>
        <w:tblW w:w="22220" w:type="dxa"/>
        <w:tblInd w:w="0" w:type="dxa"/>
        <w:shd w:val="clear" w:color="auto" w:fill="auto"/>
        <w:tblLayout w:type="fixed"/>
        <w:tblCellMar>
          <w:top w:w="0" w:type="dxa"/>
          <w:left w:w="0" w:type="dxa"/>
          <w:bottom w:w="0" w:type="dxa"/>
          <w:right w:w="0" w:type="dxa"/>
        </w:tblCellMar>
      </w:tblPr>
      <w:tblGrid>
        <w:gridCol w:w="2729"/>
        <w:gridCol w:w="4420"/>
        <w:gridCol w:w="4736"/>
        <w:gridCol w:w="5423"/>
        <w:gridCol w:w="4912"/>
      </w:tblGrid>
      <w:tr>
        <w:tblPrEx>
          <w:tblCellMar>
            <w:top w:w="0" w:type="dxa"/>
            <w:left w:w="0" w:type="dxa"/>
            <w:bottom w:w="0" w:type="dxa"/>
            <w:right w:w="0" w:type="dxa"/>
          </w:tblCellMar>
        </w:tblPrEx>
        <w:trPr>
          <w:trHeight w:val="650" w:hRule="atLeast"/>
        </w:trPr>
        <w:tc>
          <w:tcPr>
            <w:tcW w:w="22220" w:type="dxa"/>
            <w:gridSpan w:val="5"/>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国有资本经营预算财政拨款支出决算表</w:t>
            </w:r>
          </w:p>
        </w:tc>
      </w:tr>
      <w:tr>
        <w:tblPrEx>
          <w:shd w:val="clear" w:color="auto" w:fill="auto"/>
          <w:tblCellMar>
            <w:top w:w="0" w:type="dxa"/>
            <w:left w:w="0" w:type="dxa"/>
            <w:bottom w:w="0" w:type="dxa"/>
            <w:right w:w="0" w:type="dxa"/>
          </w:tblCellMar>
        </w:tblPrEx>
        <w:trPr>
          <w:trHeight w:val="332" w:hRule="atLeast"/>
        </w:trPr>
        <w:tc>
          <w:tcPr>
            <w:tcW w:w="7149" w:type="dxa"/>
            <w:gridSpan w:val="2"/>
            <w:vMerge w:val="restart"/>
            <w:tcBorders>
              <w:top w:val="nil"/>
              <w:left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r>
              <w:rPr>
                <w:rFonts w:hint="eastAsia" w:asciiTheme="minorEastAsia" w:hAnsiTheme="minorEastAsia" w:eastAsiaTheme="minorEastAsia" w:cstheme="minorEastAsia"/>
                <w:sz w:val="24"/>
                <w:szCs w:val="24"/>
                <w:lang w:eastAsia="zh-CN"/>
              </w:rPr>
              <w:t>公开单位</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重庆市黔江区城东街道办事处（本级）</w:t>
            </w:r>
          </w:p>
        </w:tc>
        <w:tc>
          <w:tcPr>
            <w:tcW w:w="4736"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542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4912"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公开08表</w:t>
            </w:r>
          </w:p>
        </w:tc>
      </w:tr>
      <w:tr>
        <w:tblPrEx>
          <w:tblCellMar>
            <w:top w:w="0" w:type="dxa"/>
            <w:left w:w="0" w:type="dxa"/>
            <w:bottom w:w="0" w:type="dxa"/>
            <w:right w:w="0" w:type="dxa"/>
          </w:tblCellMar>
        </w:tblPrEx>
        <w:trPr>
          <w:trHeight w:val="332" w:hRule="atLeast"/>
        </w:trPr>
        <w:tc>
          <w:tcPr>
            <w:tcW w:w="7149" w:type="dxa"/>
            <w:gridSpan w:val="2"/>
            <w:vMerge w:val="continue"/>
            <w:tcBorders>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4736"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542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4912"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tblPrEx>
          <w:tblCellMar>
            <w:top w:w="0" w:type="dxa"/>
            <w:left w:w="0" w:type="dxa"/>
            <w:bottom w:w="0" w:type="dxa"/>
            <w:right w:w="0" w:type="dxa"/>
          </w:tblCellMar>
        </w:tblPrEx>
        <w:trPr>
          <w:trHeight w:val="422" w:hRule="atLeast"/>
        </w:trPr>
        <w:tc>
          <w:tcPr>
            <w:tcW w:w="7149" w:type="dxa"/>
            <w:gridSpan w:val="2"/>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15071" w:type="dxa"/>
            <w:gridSpan w:val="3"/>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w:t>
            </w:r>
          </w:p>
        </w:tc>
      </w:tr>
      <w:tr>
        <w:tblPrEx>
          <w:tblCellMar>
            <w:top w:w="0" w:type="dxa"/>
            <w:left w:w="0" w:type="dxa"/>
            <w:bottom w:w="0" w:type="dxa"/>
            <w:right w:w="0" w:type="dxa"/>
          </w:tblCellMar>
        </w:tblPrEx>
        <w:trPr>
          <w:trHeight w:val="339" w:hRule="atLeast"/>
        </w:trPr>
        <w:tc>
          <w:tcPr>
            <w:tcW w:w="2729"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功能分类科目编码</w:t>
            </w:r>
          </w:p>
        </w:tc>
        <w:tc>
          <w:tcPr>
            <w:tcW w:w="442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科目名称</w:t>
            </w:r>
          </w:p>
        </w:tc>
        <w:tc>
          <w:tcPr>
            <w:tcW w:w="4736"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5423"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基本支出</w:t>
            </w:r>
          </w:p>
        </w:tc>
        <w:tc>
          <w:tcPr>
            <w:tcW w:w="4912"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项目支出</w:t>
            </w:r>
          </w:p>
        </w:tc>
      </w:tr>
      <w:tr>
        <w:tblPrEx>
          <w:tblCellMar>
            <w:top w:w="0" w:type="dxa"/>
            <w:left w:w="0" w:type="dxa"/>
            <w:bottom w:w="0" w:type="dxa"/>
            <w:right w:w="0" w:type="dxa"/>
          </w:tblCellMar>
        </w:tblPrEx>
        <w:trPr>
          <w:trHeight w:val="339" w:hRule="atLeast"/>
        </w:trPr>
        <w:tc>
          <w:tcPr>
            <w:tcW w:w="272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42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736"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542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912"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tblCellMar>
            <w:top w:w="0" w:type="dxa"/>
            <w:left w:w="0" w:type="dxa"/>
            <w:bottom w:w="0" w:type="dxa"/>
            <w:right w:w="0" w:type="dxa"/>
          </w:tblCellMar>
        </w:tblPrEx>
        <w:trPr>
          <w:trHeight w:val="339" w:hRule="atLeast"/>
        </w:trPr>
        <w:tc>
          <w:tcPr>
            <w:tcW w:w="272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42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736"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542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912"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tblCellMar>
            <w:top w:w="0" w:type="dxa"/>
            <w:left w:w="0" w:type="dxa"/>
            <w:bottom w:w="0" w:type="dxa"/>
            <w:right w:w="0" w:type="dxa"/>
          </w:tblCellMar>
        </w:tblPrEx>
        <w:trPr>
          <w:trHeight w:val="312" w:hRule="atLeast"/>
        </w:trPr>
        <w:tc>
          <w:tcPr>
            <w:tcW w:w="272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42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736"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542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912"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tblCellMar>
            <w:top w:w="0" w:type="dxa"/>
            <w:left w:w="0" w:type="dxa"/>
            <w:bottom w:w="0" w:type="dxa"/>
            <w:right w:w="0" w:type="dxa"/>
          </w:tblCellMar>
        </w:tblPrEx>
        <w:trPr>
          <w:trHeight w:val="611" w:hRule="atLeast"/>
        </w:trPr>
        <w:tc>
          <w:tcPr>
            <w:tcW w:w="7149" w:type="dxa"/>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47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22"/>
                <w:szCs w:val="22"/>
                <w:u w:val="none"/>
              </w:rPr>
            </w:pPr>
          </w:p>
        </w:tc>
        <w:tc>
          <w:tcPr>
            <w:tcW w:w="49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r>
      <w:tr>
        <w:tblPrEx>
          <w:tblCellMar>
            <w:top w:w="0" w:type="dxa"/>
            <w:left w:w="0" w:type="dxa"/>
            <w:bottom w:w="0" w:type="dxa"/>
            <w:right w:w="0" w:type="dxa"/>
          </w:tblCellMar>
        </w:tblPrEx>
        <w:trPr>
          <w:trHeight w:val="488" w:hRule="atLeast"/>
        </w:trPr>
        <w:tc>
          <w:tcPr>
            <w:tcW w:w="272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p>
        </w:tc>
        <w:tc>
          <w:tcPr>
            <w:tcW w:w="44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p>
        </w:tc>
        <w:tc>
          <w:tcPr>
            <w:tcW w:w="47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22"/>
                <w:szCs w:val="22"/>
                <w:u w:val="none"/>
              </w:rPr>
            </w:pPr>
          </w:p>
        </w:tc>
        <w:tc>
          <w:tcPr>
            <w:tcW w:w="49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r>
    </w:tbl>
    <w:p>
      <w:pPr>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备注：本表反映单位本年度国有资本经营预算财政拨款支出情况。本单位无国有资本经营收支，故本表无数据。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pPr>
        <w:numPr>
          <w:ilvl w:val="0"/>
          <w:numId w:val="0"/>
        </w:numPr>
        <w:rPr>
          <w:rFonts w:hint="eastAsia" w:ascii="宋体" w:hAnsi="宋体" w:eastAsia="宋体" w:cs="宋体"/>
          <w:sz w:val="21"/>
          <w:szCs w:val="21"/>
        </w:rPr>
      </w:pPr>
      <w:r>
        <w:rPr>
          <w:rFonts w:hint="eastAsia" w:ascii="宋体" w:hAnsi="宋体" w:eastAsia="宋体" w:cs="宋体"/>
          <w:sz w:val="21"/>
          <w:szCs w:val="21"/>
        </w:rPr>
        <w:br w:type="page"/>
      </w:r>
    </w:p>
    <w:tbl>
      <w:tblPr>
        <w:tblStyle w:val="6"/>
        <w:tblW w:w="22168" w:type="dxa"/>
        <w:tblInd w:w="0" w:type="dxa"/>
        <w:shd w:val="clear" w:color="auto" w:fill="auto"/>
        <w:tblLayout w:type="fixed"/>
        <w:tblCellMar>
          <w:top w:w="0" w:type="dxa"/>
          <w:left w:w="0" w:type="dxa"/>
          <w:bottom w:w="0" w:type="dxa"/>
          <w:right w:w="0" w:type="dxa"/>
        </w:tblCellMar>
      </w:tblPr>
      <w:tblGrid>
        <w:gridCol w:w="5159"/>
        <w:gridCol w:w="3822"/>
        <w:gridCol w:w="3281"/>
        <w:gridCol w:w="6581"/>
        <w:gridCol w:w="3325"/>
      </w:tblGrid>
      <w:tr>
        <w:tblPrEx>
          <w:tblCellMar>
            <w:top w:w="0" w:type="dxa"/>
            <w:left w:w="0" w:type="dxa"/>
            <w:bottom w:w="0" w:type="dxa"/>
            <w:right w:w="0" w:type="dxa"/>
          </w:tblCellMar>
        </w:tblPrEx>
        <w:trPr>
          <w:trHeight w:val="510" w:hRule="atLeast"/>
        </w:trPr>
        <w:tc>
          <w:tcPr>
            <w:tcW w:w="22168" w:type="dxa"/>
            <w:gridSpan w:val="5"/>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机构运行信息表</w:t>
            </w:r>
          </w:p>
        </w:tc>
      </w:tr>
      <w:tr>
        <w:tblPrEx>
          <w:tblCellMar>
            <w:top w:w="0" w:type="dxa"/>
            <w:left w:w="0" w:type="dxa"/>
            <w:bottom w:w="0" w:type="dxa"/>
            <w:right w:w="0" w:type="dxa"/>
          </w:tblCellMar>
        </w:tblPrEx>
        <w:trPr>
          <w:trHeight w:val="255" w:hRule="atLeast"/>
        </w:trPr>
        <w:tc>
          <w:tcPr>
            <w:tcW w:w="5159"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3822" w:type="dxa"/>
            <w:tcBorders>
              <w:top w:val="nil"/>
              <w:left w:val="nil"/>
              <w:bottom w:val="nil"/>
              <w:right w:val="nil"/>
            </w:tcBorders>
            <w:shd w:val="clear" w:color="auto" w:fill="auto"/>
            <w:noWrap/>
            <w:tcMar>
              <w:top w:w="15" w:type="dxa"/>
              <w:left w:w="15" w:type="dxa"/>
              <w:right w:w="15" w:type="dxa"/>
            </w:tcMar>
            <w:vAlign w:val="bottom"/>
          </w:tcPr>
          <w:p>
            <w:pPr>
              <w:jc w:val="center"/>
              <w:rPr>
                <w:rFonts w:hint="default" w:ascii="Arial" w:hAnsi="Arial" w:eastAsia="宋体" w:cs="Arial"/>
                <w:i w:val="0"/>
                <w:color w:val="000000"/>
                <w:sz w:val="20"/>
                <w:szCs w:val="20"/>
                <w:u w:val="none"/>
              </w:rPr>
            </w:pPr>
          </w:p>
        </w:tc>
        <w:tc>
          <w:tcPr>
            <w:tcW w:w="3281" w:type="dxa"/>
            <w:tcBorders>
              <w:top w:val="nil"/>
              <w:left w:val="nil"/>
              <w:bottom w:val="nil"/>
              <w:right w:val="nil"/>
            </w:tcBorders>
            <w:shd w:val="clear" w:color="auto" w:fill="auto"/>
            <w:noWrap/>
            <w:tcMar>
              <w:top w:w="15" w:type="dxa"/>
              <w:left w:w="15" w:type="dxa"/>
              <w:right w:w="15" w:type="dxa"/>
            </w:tcMar>
            <w:vAlign w:val="bottom"/>
          </w:tcPr>
          <w:p>
            <w:pPr>
              <w:jc w:val="right"/>
              <w:rPr>
                <w:rFonts w:hint="default" w:ascii="Arial" w:hAnsi="Arial" w:eastAsia="宋体" w:cs="Arial"/>
                <w:i w:val="0"/>
                <w:color w:val="000000"/>
                <w:sz w:val="20"/>
                <w:szCs w:val="20"/>
                <w:u w:val="none"/>
              </w:rPr>
            </w:pPr>
          </w:p>
        </w:tc>
        <w:tc>
          <w:tcPr>
            <w:tcW w:w="6581"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3325"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公开09表</w:t>
            </w:r>
          </w:p>
        </w:tc>
      </w:tr>
      <w:tr>
        <w:tblPrEx>
          <w:tblCellMar>
            <w:top w:w="0" w:type="dxa"/>
            <w:left w:w="0" w:type="dxa"/>
            <w:bottom w:w="0" w:type="dxa"/>
            <w:right w:w="0" w:type="dxa"/>
          </w:tblCellMar>
        </w:tblPrEx>
        <w:trPr>
          <w:trHeight w:val="285" w:hRule="atLeast"/>
        </w:trPr>
        <w:tc>
          <w:tcPr>
            <w:tcW w:w="5159"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default" w:ascii="Arial" w:hAnsi="Arial" w:eastAsia="宋体" w:cs="Arial"/>
                <w:i w:val="0"/>
                <w:color w:val="000000"/>
                <w:sz w:val="22"/>
                <w:szCs w:val="22"/>
                <w:u w:val="none"/>
              </w:rPr>
            </w:pPr>
            <w:r>
              <w:rPr>
                <w:rFonts w:hint="eastAsia" w:asciiTheme="minorEastAsia" w:hAnsiTheme="minorEastAsia" w:eastAsiaTheme="minorEastAsia" w:cstheme="minorEastAsia"/>
                <w:sz w:val="24"/>
                <w:szCs w:val="24"/>
                <w:lang w:eastAsia="zh-CN"/>
              </w:rPr>
              <w:t>公开单位</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重庆市黔江区城东街道办事处（本级）</w:t>
            </w:r>
          </w:p>
        </w:tc>
        <w:tc>
          <w:tcPr>
            <w:tcW w:w="3822" w:type="dxa"/>
            <w:tcBorders>
              <w:top w:val="nil"/>
              <w:left w:val="nil"/>
              <w:bottom w:val="nil"/>
              <w:right w:val="nil"/>
            </w:tcBorders>
            <w:shd w:val="clear" w:color="auto" w:fill="auto"/>
            <w:noWrap/>
            <w:tcMar>
              <w:top w:w="15" w:type="dxa"/>
              <w:left w:w="15" w:type="dxa"/>
              <w:right w:w="15" w:type="dxa"/>
            </w:tcMar>
            <w:vAlign w:val="bottom"/>
          </w:tcPr>
          <w:p>
            <w:pPr>
              <w:jc w:val="center"/>
              <w:rPr>
                <w:rFonts w:hint="eastAsia" w:ascii="宋体" w:hAnsi="宋体" w:eastAsia="宋体" w:cs="宋体"/>
                <w:i w:val="0"/>
                <w:color w:val="000000"/>
                <w:sz w:val="22"/>
                <w:szCs w:val="22"/>
                <w:u w:val="none"/>
              </w:rPr>
            </w:pPr>
          </w:p>
        </w:tc>
        <w:tc>
          <w:tcPr>
            <w:tcW w:w="3281" w:type="dxa"/>
            <w:tcBorders>
              <w:top w:val="nil"/>
              <w:left w:val="nil"/>
              <w:bottom w:val="nil"/>
              <w:right w:val="nil"/>
            </w:tcBorders>
            <w:shd w:val="clear" w:color="auto" w:fill="auto"/>
            <w:noWrap/>
            <w:tcMar>
              <w:top w:w="15" w:type="dxa"/>
              <w:left w:w="15" w:type="dxa"/>
              <w:right w:w="15" w:type="dxa"/>
            </w:tcMar>
            <w:vAlign w:val="bottom"/>
          </w:tcPr>
          <w:p>
            <w:pPr>
              <w:jc w:val="right"/>
              <w:rPr>
                <w:rFonts w:hint="default" w:ascii="Arial" w:hAnsi="Arial" w:eastAsia="宋体" w:cs="Arial"/>
                <w:i w:val="0"/>
                <w:color w:val="000000"/>
                <w:sz w:val="22"/>
                <w:szCs w:val="22"/>
                <w:u w:val="none"/>
              </w:rPr>
            </w:pPr>
          </w:p>
        </w:tc>
        <w:tc>
          <w:tcPr>
            <w:tcW w:w="6581"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3325"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tblPrEx>
          <w:tblCellMar>
            <w:top w:w="0" w:type="dxa"/>
            <w:left w:w="0" w:type="dxa"/>
            <w:bottom w:w="0" w:type="dxa"/>
            <w:right w:w="0" w:type="dxa"/>
          </w:tblCellMar>
        </w:tblPrEx>
        <w:trPr>
          <w:trHeight w:val="308" w:hRule="atLeast"/>
        </w:trPr>
        <w:tc>
          <w:tcPr>
            <w:tcW w:w="5159" w:type="dxa"/>
            <w:tcBorders>
              <w:top w:val="single" w:color="000000" w:sz="4" w:space="0"/>
              <w:left w:val="single" w:color="000000" w:sz="4" w:space="0"/>
              <w:bottom w:val="single" w:color="000000" w:sz="4" w:space="0"/>
              <w:right w:val="nil"/>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  目</w:t>
            </w:r>
          </w:p>
        </w:tc>
        <w:tc>
          <w:tcPr>
            <w:tcW w:w="38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预算数</w:t>
            </w:r>
          </w:p>
        </w:tc>
        <w:tc>
          <w:tcPr>
            <w:tcW w:w="3281" w:type="dxa"/>
            <w:tcBorders>
              <w:top w:val="single" w:color="000000" w:sz="4" w:space="0"/>
              <w:left w:val="nil"/>
              <w:bottom w:val="nil"/>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c>
          <w:tcPr>
            <w:tcW w:w="6581" w:type="dxa"/>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  目</w:t>
            </w:r>
          </w:p>
        </w:tc>
        <w:tc>
          <w:tcPr>
            <w:tcW w:w="3325" w:type="dxa"/>
            <w:tcBorders>
              <w:top w:val="single" w:color="000000" w:sz="4" w:space="0"/>
              <w:left w:val="nil"/>
              <w:bottom w:val="nil"/>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一、“三公”经费支出</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cs="宋体"/>
                <w:i w:val="0"/>
                <w:color w:val="000000"/>
                <w:kern w:val="0"/>
                <w:sz w:val="22"/>
                <w:szCs w:val="22"/>
                <w:u w:val="none"/>
                <w:lang w:val="en-US" w:eastAsia="zh-CN" w:bidi="ar"/>
              </w:rPr>
              <w:t>五</w:t>
            </w:r>
            <w:r>
              <w:rPr>
                <w:rFonts w:hint="eastAsia" w:ascii="宋体" w:hAnsi="宋体" w:eastAsia="宋体" w:cs="宋体"/>
                <w:i w:val="0"/>
                <w:color w:val="000000"/>
                <w:kern w:val="0"/>
                <w:sz w:val="22"/>
                <w:szCs w:val="22"/>
                <w:u w:val="none"/>
                <w:lang w:val="en-US" w:eastAsia="zh-CN" w:bidi="ar"/>
              </w:rPr>
              <w:t>、机关运行经费</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ascii="宋体" w:hAnsi="宋体" w:eastAsia="宋体" w:cs="宋体"/>
                <w:color w:val="000000"/>
                <w:sz w:val="21"/>
                <w:szCs w:val="21"/>
                <w:lang w:bidi="ar"/>
              </w:rPr>
              <w:t>89.79</w:t>
            </w: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（一）支出合计</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ascii="宋体" w:hAnsi="宋体" w:eastAsia="宋体" w:cs="宋体"/>
                <w:color w:val="000000"/>
                <w:sz w:val="21"/>
                <w:szCs w:val="21"/>
                <w:lang w:bidi="ar"/>
              </w:rPr>
              <w:t>11.54</w:t>
            </w:r>
            <w:r>
              <w:rPr>
                <w:rFonts w:hint="eastAsia" w:cs="宋体"/>
                <w:color w:val="000000"/>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ascii="宋体" w:hAnsi="宋体" w:eastAsia="宋体" w:cs="宋体"/>
                <w:color w:val="000000"/>
                <w:sz w:val="21"/>
                <w:szCs w:val="21"/>
                <w:lang w:bidi="ar"/>
              </w:rPr>
              <w:t>11.54</w:t>
            </w: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（一）行政单位</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ascii="宋体" w:hAnsi="宋体" w:eastAsia="宋体" w:cs="宋体"/>
                <w:color w:val="000000"/>
                <w:sz w:val="21"/>
                <w:szCs w:val="21"/>
                <w:lang w:bidi="ar"/>
              </w:rPr>
              <w:t>89.79</w:t>
            </w: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1．因公出国（境）费</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（二）参照公务员法管理事业单位</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2．公务用车购置及运行维护费</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ascii="宋体" w:hAnsi="宋体" w:eastAsia="宋体" w:cs="宋体"/>
                <w:color w:val="000000"/>
                <w:sz w:val="21"/>
                <w:szCs w:val="21"/>
                <w:lang w:bidi="ar"/>
              </w:rPr>
              <w:t>5.29</w:t>
            </w:r>
            <w:r>
              <w:rPr>
                <w:rFonts w:hint="eastAsia" w:cs="宋体"/>
                <w:color w:val="000000"/>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ascii="宋体" w:hAnsi="宋体" w:eastAsia="宋体" w:cs="宋体"/>
                <w:color w:val="000000"/>
                <w:sz w:val="21"/>
                <w:szCs w:val="21"/>
                <w:lang w:bidi="ar"/>
              </w:rPr>
              <w:t>5.29</w:t>
            </w: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cs="宋体"/>
                <w:i w:val="0"/>
                <w:color w:val="000000"/>
                <w:kern w:val="0"/>
                <w:sz w:val="22"/>
                <w:szCs w:val="22"/>
                <w:u w:val="none"/>
                <w:lang w:val="en-US" w:eastAsia="zh-CN" w:bidi="ar"/>
              </w:rPr>
              <w:t>六</w:t>
            </w:r>
            <w:r>
              <w:rPr>
                <w:rFonts w:hint="eastAsia" w:ascii="宋体" w:hAnsi="宋体" w:eastAsia="宋体" w:cs="宋体"/>
                <w:i w:val="0"/>
                <w:color w:val="000000"/>
                <w:kern w:val="0"/>
                <w:sz w:val="22"/>
                <w:szCs w:val="22"/>
                <w:u w:val="none"/>
                <w:lang w:val="en-US" w:eastAsia="zh-CN" w:bidi="ar"/>
              </w:rPr>
              <w:t>、资产信息</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（1）公务用车购置费</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（一）车辆数合计（辆）</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ascii="宋体" w:hAnsi="宋体" w:eastAsia="宋体" w:cs="宋体"/>
                <w:color w:val="000000"/>
                <w:sz w:val="21"/>
                <w:szCs w:val="21"/>
                <w:lang w:bidi="ar"/>
              </w:rPr>
              <w:t>7</w:t>
            </w: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（2）公务用车运行维护费</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ascii="宋体" w:hAnsi="宋体" w:eastAsia="宋体" w:cs="宋体"/>
                <w:color w:val="000000"/>
                <w:sz w:val="21"/>
                <w:szCs w:val="21"/>
                <w:lang w:bidi="ar"/>
              </w:rPr>
              <w:t>5.29</w:t>
            </w:r>
            <w:r>
              <w:rPr>
                <w:rFonts w:hint="eastAsia" w:cs="宋体"/>
                <w:color w:val="000000"/>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ascii="宋体" w:hAnsi="宋体" w:eastAsia="宋体" w:cs="宋体"/>
                <w:color w:val="000000"/>
                <w:sz w:val="21"/>
                <w:szCs w:val="21"/>
                <w:lang w:bidi="ar"/>
              </w:rPr>
              <w:t>5.29</w:t>
            </w: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1．副部（省）级及以上领导用车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3．公务接待费</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ascii="宋体" w:hAnsi="宋体" w:eastAsia="宋体" w:cs="宋体"/>
                <w:color w:val="000000"/>
                <w:sz w:val="21"/>
                <w:szCs w:val="21"/>
                <w:lang w:bidi="ar"/>
              </w:rPr>
              <w:t>6.25</w:t>
            </w:r>
            <w:r>
              <w:rPr>
                <w:rFonts w:hint="eastAsia" w:cs="宋体"/>
                <w:color w:val="000000"/>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ascii="宋体" w:hAnsi="宋体" w:eastAsia="宋体" w:cs="宋体"/>
                <w:color w:val="000000"/>
                <w:sz w:val="21"/>
                <w:szCs w:val="21"/>
                <w:lang w:bidi="ar"/>
              </w:rPr>
              <w:t>6.25</w:t>
            </w: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2．主要领导干部用车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（1）国内接待费</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ascii="宋体" w:hAnsi="宋体" w:eastAsia="宋体" w:cs="宋体"/>
                <w:color w:val="000000"/>
                <w:sz w:val="21"/>
                <w:szCs w:val="21"/>
                <w:lang w:bidi="ar"/>
              </w:rPr>
              <w:t>6.25</w:t>
            </w: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3．机要通信用车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其中：外事接待费</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4．应急保障用车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ascii="宋体" w:hAnsi="宋体" w:eastAsia="宋体" w:cs="宋体"/>
                <w:color w:val="000000"/>
                <w:sz w:val="21"/>
                <w:szCs w:val="21"/>
                <w:lang w:bidi="ar"/>
              </w:rPr>
              <w:t>2</w:t>
            </w: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（2）国（境）外接待费</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5．执法执勤用车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（二）相关统计数</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6．特种专业技术用车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ascii="宋体" w:hAnsi="宋体" w:eastAsia="宋体" w:cs="宋体"/>
                <w:color w:val="000000"/>
                <w:sz w:val="21"/>
                <w:szCs w:val="21"/>
                <w:lang w:bidi="ar"/>
              </w:rPr>
              <w:t>5</w:t>
            </w: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1．因公出国（境）团组数（个）</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7．离退休干部用车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2．因公出国（境）人次数（人）</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8．其他用车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3．公务用车购置数（辆）</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（二）单价100万元（含）以上设备（不含车辆）</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4．公务用车保有量（辆）</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ascii="宋体" w:hAnsi="宋体" w:eastAsia="宋体" w:cs="宋体"/>
                <w:color w:val="000000"/>
                <w:sz w:val="21"/>
                <w:szCs w:val="21"/>
                <w:lang w:bidi="ar"/>
              </w:rPr>
              <w:t>3</w:t>
            </w: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cs="宋体"/>
                <w:i w:val="0"/>
                <w:color w:val="000000"/>
                <w:kern w:val="0"/>
                <w:sz w:val="22"/>
                <w:szCs w:val="22"/>
                <w:u w:val="none"/>
                <w:lang w:val="en-US" w:eastAsia="zh-CN" w:bidi="ar"/>
              </w:rPr>
              <w:t>七</w:t>
            </w:r>
            <w:r>
              <w:rPr>
                <w:rFonts w:hint="eastAsia" w:ascii="宋体" w:hAnsi="宋体" w:eastAsia="宋体" w:cs="宋体"/>
                <w:i w:val="0"/>
                <w:color w:val="000000"/>
                <w:kern w:val="0"/>
                <w:sz w:val="22"/>
                <w:szCs w:val="22"/>
                <w:u w:val="none"/>
                <w:lang w:val="en-US" w:eastAsia="zh-CN" w:bidi="ar"/>
              </w:rPr>
              <w:t>、政府采购支出信息</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5．国内公务接待批次（个）</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ascii="宋体" w:hAnsi="宋体" w:eastAsia="宋体" w:cs="宋体"/>
                <w:color w:val="000000"/>
                <w:sz w:val="21"/>
                <w:szCs w:val="21"/>
                <w:lang w:bidi="ar"/>
              </w:rPr>
              <w:t>84</w:t>
            </w: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（一）政府采购支出合计</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ascii="宋体" w:hAnsi="宋体" w:eastAsia="宋体" w:cs="宋体"/>
                <w:color w:val="000000"/>
                <w:sz w:val="21"/>
                <w:szCs w:val="21"/>
                <w:lang w:bidi="ar"/>
              </w:rPr>
              <w:t>101.09</w:t>
            </w: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其中：外事接待批次（个）</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1．政府采购货物支出</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ascii="宋体" w:hAnsi="宋体" w:eastAsia="宋体" w:cs="宋体"/>
                <w:color w:val="000000"/>
                <w:sz w:val="21"/>
                <w:szCs w:val="21"/>
                <w:lang w:bidi="ar"/>
              </w:rPr>
              <w:t>101.09</w:t>
            </w: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6．国内公务接待人次（人）</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ascii="宋体" w:hAnsi="宋体" w:eastAsia="宋体" w:cs="宋体"/>
                <w:color w:val="000000"/>
                <w:sz w:val="21"/>
                <w:szCs w:val="21"/>
                <w:lang w:bidi="ar"/>
              </w:rPr>
              <w:t>834</w:t>
            </w: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2．政府采购工程支出</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其中：外事接待人次（人）</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3．政府采购服务支出</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7．国（境）外公务接待批次（个）</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（二）政府采购授予中小企业合同金额</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ascii="宋体" w:hAnsi="宋体" w:eastAsia="宋体" w:cs="宋体"/>
                <w:color w:val="000000"/>
                <w:sz w:val="21"/>
                <w:szCs w:val="21"/>
                <w:lang w:bidi="ar"/>
              </w:rPr>
              <w:t>101.09</w:t>
            </w: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8．国（境）外公务接待人次（人）</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其中：授予小微企业合同金额</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ascii="宋体" w:hAnsi="宋体" w:eastAsia="宋体" w:cs="宋体"/>
                <w:color w:val="000000"/>
                <w:sz w:val="21"/>
                <w:szCs w:val="21"/>
                <w:lang w:bidi="ar"/>
              </w:rPr>
              <w:t>2.87</w:t>
            </w: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auto" w:sz="4" w:space="0"/>
              <w:right w:val="nil"/>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二、会议费</w:t>
            </w:r>
          </w:p>
        </w:tc>
        <w:tc>
          <w:tcPr>
            <w:tcW w:w="3822" w:type="dxa"/>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 xml:space="preserve"> </w:t>
            </w:r>
            <w:r>
              <w:rPr>
                <w:rFonts w:hint="eastAsia" w:ascii="宋体" w:hAnsi="宋体" w:eastAsia="宋体" w:cs="宋体"/>
                <w:color w:val="000000"/>
                <w:sz w:val="21"/>
                <w:szCs w:val="21"/>
                <w:lang w:bidi="ar"/>
              </w:rPr>
              <w:t>0.58</w:t>
            </w:r>
            <w:r>
              <w:rPr>
                <w:rFonts w:hint="eastAsia" w:ascii="宋体" w:hAnsi="宋体" w:eastAsia="宋体" w:cs="宋体"/>
                <w:color w:val="000000"/>
                <w:sz w:val="21"/>
                <w:szCs w:val="21"/>
                <w:lang w:val="en-US" w:eastAsia="zh-CN" w:bidi="ar"/>
              </w:rPr>
              <w:t xml:space="preserve"> </w:t>
            </w:r>
          </w:p>
        </w:tc>
        <w:tc>
          <w:tcPr>
            <w:tcW w:w="6581" w:type="dxa"/>
            <w:tcBorders>
              <w:top w:val="nil"/>
              <w:left w:val="nil"/>
              <w:bottom w:val="single" w:color="auto"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right"/>
              <w:rPr>
                <w:rFonts w:hint="default" w:ascii="Arial" w:hAnsi="Arial" w:eastAsia="宋体" w:cs="Arial"/>
                <w:i w:val="0"/>
                <w:color w:val="000000"/>
                <w:sz w:val="20"/>
                <w:szCs w:val="20"/>
                <w:u w:val="none"/>
              </w:rPr>
            </w:pPr>
          </w:p>
        </w:tc>
      </w:tr>
      <w:tr>
        <w:tblPrEx>
          <w:tblCellMar>
            <w:top w:w="0" w:type="dxa"/>
            <w:left w:w="0" w:type="dxa"/>
            <w:bottom w:w="0" w:type="dxa"/>
            <w:right w:w="0" w:type="dxa"/>
          </w:tblCellMar>
        </w:tblPrEx>
        <w:trPr>
          <w:trHeight w:val="308" w:hRule="atLeast"/>
        </w:trPr>
        <w:tc>
          <w:tcPr>
            <w:tcW w:w="5159" w:type="dxa"/>
            <w:tcBorders>
              <w:top w:val="single" w:color="auto" w:sz="4" w:space="0"/>
              <w:left w:val="single" w:color="auto" w:sz="4" w:space="0"/>
              <w:bottom w:val="single" w:color="auto" w:sz="4" w:space="0"/>
              <w:right w:val="nil"/>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三、培训费</w:t>
            </w:r>
          </w:p>
        </w:tc>
        <w:tc>
          <w:tcPr>
            <w:tcW w:w="3822" w:type="dxa"/>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single" w:color="auto" w:sz="4" w:space="0"/>
              <w:bottom w:val="single" w:color="000000" w:sz="4" w:space="0"/>
              <w:right w:val="single" w:color="auto" w:sz="4" w:space="0"/>
            </w:tcBorders>
            <w:shd w:val="clear" w:color="auto" w:fill="auto"/>
            <w:noWrap/>
            <w:tcMar>
              <w:top w:w="15" w:type="dxa"/>
              <w:left w:w="15" w:type="dxa"/>
              <w:right w:w="15" w:type="dxa"/>
            </w:tcMar>
            <w:vAlign w:val="bottom"/>
          </w:tcPr>
          <w:p>
            <w:pPr>
              <w:wordWrap w:val="0"/>
              <w:jc w:val="right"/>
              <w:textAlignment w:val="bottom"/>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 xml:space="preserve"> </w:t>
            </w:r>
            <w:r>
              <w:rPr>
                <w:rFonts w:hint="eastAsia" w:ascii="宋体" w:hAnsi="宋体" w:eastAsia="宋体" w:cs="宋体"/>
                <w:color w:val="000000"/>
                <w:sz w:val="21"/>
                <w:szCs w:val="21"/>
                <w:lang w:bidi="ar"/>
              </w:rPr>
              <w:t>5.71</w:t>
            </w:r>
            <w:r>
              <w:rPr>
                <w:rFonts w:hint="eastAsia" w:ascii="宋体" w:hAnsi="宋体" w:eastAsia="宋体" w:cs="宋体"/>
                <w:color w:val="000000"/>
                <w:sz w:val="21"/>
                <w:szCs w:val="21"/>
                <w:lang w:val="en-US" w:eastAsia="zh-CN" w:bidi="ar"/>
              </w:rPr>
              <w:t xml:space="preserve"> </w:t>
            </w:r>
          </w:p>
        </w:tc>
        <w:tc>
          <w:tcPr>
            <w:tcW w:w="6581" w:type="dxa"/>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325" w:type="dxa"/>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bottom"/>
          </w:tcPr>
          <w:p>
            <w:pPr>
              <w:jc w:val="right"/>
              <w:rPr>
                <w:rFonts w:hint="default" w:ascii="Arial" w:hAnsi="Arial" w:eastAsia="宋体" w:cs="Arial"/>
                <w:i w:val="0"/>
                <w:color w:val="000000"/>
                <w:sz w:val="20"/>
                <w:szCs w:val="20"/>
                <w:u w:val="none"/>
              </w:rPr>
            </w:pPr>
          </w:p>
        </w:tc>
      </w:tr>
      <w:tr>
        <w:tblPrEx>
          <w:tblCellMar>
            <w:top w:w="0" w:type="dxa"/>
            <w:left w:w="0" w:type="dxa"/>
            <w:bottom w:w="0" w:type="dxa"/>
            <w:right w:w="0" w:type="dxa"/>
          </w:tblCellMar>
        </w:tblPrEx>
        <w:trPr>
          <w:trHeight w:val="308" w:hRule="atLeast"/>
        </w:trPr>
        <w:tc>
          <w:tcPr>
            <w:tcW w:w="5159" w:type="dxa"/>
            <w:tcBorders>
              <w:top w:val="single" w:color="auto" w:sz="4" w:space="0"/>
              <w:left w:val="single" w:color="auto" w:sz="4" w:space="0"/>
              <w:bottom w:val="single" w:color="auto" w:sz="4" w:space="0"/>
              <w:right w:val="nil"/>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四、差旅费</w:t>
            </w:r>
          </w:p>
        </w:tc>
        <w:tc>
          <w:tcPr>
            <w:tcW w:w="3822" w:type="dxa"/>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single" w:color="auto" w:sz="4" w:space="0"/>
              <w:bottom w:val="single" w:color="000000" w:sz="4" w:space="0"/>
              <w:right w:val="single" w:color="auto" w:sz="4" w:space="0"/>
            </w:tcBorders>
            <w:shd w:val="clear" w:color="auto" w:fill="auto"/>
            <w:noWrap/>
            <w:tcMar>
              <w:top w:w="15" w:type="dxa"/>
              <w:left w:w="15" w:type="dxa"/>
              <w:right w:w="15" w:type="dxa"/>
            </w:tcMar>
            <w:vAlign w:val="bottom"/>
          </w:tcPr>
          <w:p>
            <w:pPr>
              <w:wordWrap w:val="0"/>
              <w:jc w:val="right"/>
              <w:textAlignment w:val="bottom"/>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 xml:space="preserve"> </w:t>
            </w:r>
            <w:r>
              <w:rPr>
                <w:rFonts w:hint="eastAsia" w:ascii="宋体" w:hAnsi="宋体" w:eastAsia="宋体" w:cs="宋体"/>
                <w:color w:val="000000"/>
                <w:sz w:val="21"/>
                <w:szCs w:val="21"/>
                <w:lang w:bidi="ar"/>
              </w:rPr>
              <w:t>3.48</w:t>
            </w:r>
            <w:r>
              <w:rPr>
                <w:rFonts w:hint="eastAsia" w:ascii="宋体" w:hAnsi="宋体" w:eastAsia="宋体" w:cs="宋体"/>
                <w:color w:val="000000"/>
                <w:sz w:val="21"/>
                <w:szCs w:val="21"/>
                <w:lang w:val="en-US" w:eastAsia="zh-CN" w:bidi="ar"/>
              </w:rPr>
              <w:t xml:space="preserve"> </w:t>
            </w:r>
          </w:p>
        </w:tc>
        <w:tc>
          <w:tcPr>
            <w:tcW w:w="6581" w:type="dxa"/>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325" w:type="dxa"/>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bottom"/>
          </w:tcPr>
          <w:p>
            <w:pPr>
              <w:jc w:val="right"/>
              <w:rPr>
                <w:rFonts w:hint="default" w:ascii="Arial" w:hAnsi="Arial" w:eastAsia="宋体" w:cs="Arial"/>
                <w:i w:val="0"/>
                <w:color w:val="000000"/>
                <w:sz w:val="20"/>
                <w:szCs w:val="20"/>
                <w:u w:val="none"/>
              </w:rPr>
            </w:pPr>
          </w:p>
        </w:tc>
      </w:tr>
    </w:tbl>
    <w:p>
      <w:pPr>
        <w:rPr>
          <w:rFonts w:hint="eastAsia" w:ascii="宋体" w:hAnsi="宋体" w:eastAsia="宋体" w:cs="宋体"/>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单位本年度财政拨款“三公”经费支出预决算情况。其中，预算数为“三公”经费全年预算数，反映按规定程序调整后的预算数；决算数为包括本年度财政拨款和以前年度结转资金安排的实际支出。</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pPr>
        <w:rPr>
          <w:rFonts w:hint="eastAsia" w:ascii="宋体" w:hAnsi="宋体" w:eastAsia="宋体" w:cs="宋体"/>
          <w:color w:val="000000"/>
          <w:sz w:val="21"/>
          <w:szCs w:val="21"/>
          <w:lang w:bidi="ar"/>
        </w:rPr>
      </w:pPr>
    </w:p>
    <w:p>
      <w:pPr>
        <w:rPr>
          <w:rFonts w:hint="eastAsia" w:ascii="宋体" w:hAnsi="宋体" w:eastAsia="宋体" w:cs="宋体"/>
          <w:color w:val="000000"/>
          <w:sz w:val="21"/>
          <w:szCs w:val="21"/>
          <w:lang w:bidi="ar"/>
        </w:rPr>
      </w:pPr>
    </w:p>
    <w:p>
      <w:pPr>
        <w:rPr>
          <w:rFonts w:hint="eastAsia" w:ascii="宋体" w:hAnsi="宋体" w:eastAsia="宋体" w:cs="宋体"/>
          <w:color w:val="000000"/>
          <w:sz w:val="21"/>
          <w:szCs w:val="21"/>
          <w:lang w:bidi="ar"/>
        </w:rPr>
      </w:pPr>
    </w:p>
    <w:p>
      <w:pPr>
        <w:rPr>
          <w:rFonts w:hint="eastAsia" w:ascii="宋体" w:hAnsi="宋体" w:eastAsia="宋体" w:cs="宋体"/>
          <w:color w:val="000000"/>
          <w:sz w:val="21"/>
          <w:szCs w:val="21"/>
          <w:lang w:bidi="ar"/>
        </w:rPr>
      </w:pPr>
    </w:p>
    <w:p>
      <w:pPr>
        <w:rPr>
          <w:rFonts w:hint="eastAsia" w:ascii="宋体" w:hAnsi="宋体" w:eastAsia="宋体" w:cs="宋体"/>
          <w:color w:val="000000"/>
          <w:sz w:val="21"/>
          <w:szCs w:val="21"/>
          <w:lang w:bidi="ar"/>
        </w:rPr>
      </w:pPr>
    </w:p>
    <w:p>
      <w:pPr>
        <w:rPr>
          <w:rFonts w:hint="eastAsia" w:ascii="宋体" w:hAnsi="宋体" w:eastAsia="宋体" w:cs="宋体"/>
          <w:color w:val="000000"/>
          <w:sz w:val="21"/>
          <w:szCs w:val="21"/>
          <w:lang w:bidi="ar"/>
        </w:rPr>
      </w:pPr>
    </w:p>
    <w:p>
      <w:pPr>
        <w:rPr>
          <w:rFonts w:hint="eastAsia" w:ascii="宋体" w:hAnsi="宋体" w:eastAsia="宋体" w:cs="宋体"/>
          <w:color w:val="000000"/>
          <w:sz w:val="21"/>
          <w:szCs w:val="21"/>
          <w:lang w:bidi="ar"/>
        </w:rPr>
      </w:pPr>
    </w:p>
    <w:p>
      <w:pPr>
        <w:rPr>
          <w:rFonts w:hint="eastAsia" w:ascii="宋体" w:hAnsi="宋体" w:eastAsia="宋体" w:cs="宋体"/>
          <w:color w:val="000000"/>
          <w:sz w:val="21"/>
          <w:szCs w:val="21"/>
          <w:lang w:bidi="ar"/>
        </w:rPr>
      </w:pPr>
    </w:p>
    <w:p>
      <w:pPr>
        <w:rPr>
          <w:rFonts w:hint="eastAsia" w:ascii="宋体" w:hAnsi="宋体" w:eastAsia="宋体" w:cs="宋体"/>
          <w:color w:val="000000"/>
          <w:sz w:val="21"/>
          <w:szCs w:val="21"/>
          <w:lang w:bidi="ar"/>
        </w:rPr>
      </w:pPr>
    </w:p>
    <w:p>
      <w:pPr>
        <w:pStyle w:val="10"/>
        <w:autoSpaceDE w:val="0"/>
        <w:ind w:firstLine="0" w:firstLineChars="0"/>
        <w:rPr>
          <w:rFonts w:hint="default" w:ascii="宋体" w:hAnsi="宋体" w:eastAsia="宋体" w:cs="宋体"/>
          <w:sz w:val="21"/>
          <w:szCs w:val="21"/>
        </w:rPr>
      </w:pPr>
    </w:p>
    <w:sectPr>
      <w:headerReference r:id="rId4" w:type="default"/>
      <w:footerReference r:id="rId5" w:type="default"/>
      <w:pgSz w:w="23811" w:h="16838" w:orient="landscape"/>
      <w:pgMar w:top="567" w:right="454" w:bottom="567" w:left="1037" w:header="0" w:footer="283"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both"/>
      <w:rPr>
        <w:rFonts w:hint="default"/>
      </w:rPr>
    </w:pPr>
    <w:r>
      <mc:AlternateContent>
        <mc:Choice Requires="wps">
          <w:drawing>
            <wp:anchor distT="0" distB="0" distL="114300" distR="114300" simplePos="0" relativeHeight="251660288" behindDoc="0" locked="0" layoutInCell="1" allowOverlap="0">
              <wp:simplePos x="0" y="0"/>
              <wp:positionH relativeFrom="margin">
                <wp:align>center</wp:align>
              </wp:positionH>
              <wp:positionV relativeFrom="paragraph">
                <wp:posOffset>0</wp:posOffset>
              </wp:positionV>
              <wp:extent cx="1828800" cy="1828800"/>
              <wp:effectExtent l="0" t="0" r="0" b="0"/>
              <wp:wrapNone/>
              <wp:docPr id="127" name="文本框 12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2"/>
                            <w:rPr>
                              <w:rFonts w:hint="default"/>
                            </w:rPr>
                          </w:pPr>
                          <w:r>
                            <w:t xml:space="preserve"> </w:t>
                          </w:r>
                          <w:r>
                            <w:fldChar w:fldCharType="begin"/>
                          </w:r>
                          <w:r>
                            <w:instrText xml:space="preserve">PAGE   \* MERGEFORMAT</w:instrText>
                          </w:r>
                          <w:r>
                            <w:fldChar w:fldCharType="separate"/>
                          </w:r>
                          <w:r>
                            <w:rPr>
                              <w:rFonts w:hint="default"/>
                              <w:lang w:val="zh-CN"/>
                            </w:rPr>
                            <w:t>28</w:t>
                          </w:r>
                          <w:r>
                            <w:fldChar w:fldCharType="end"/>
                          </w:r>
                          <w:r>
                            <w:t xml:space="preserve"> </w:t>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allowoverlap="f"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8Y1JphwCAAArBAAADgAAAAAAAAABACAAAAA1AQAAZHJzL2Uyb0RvYy54bWxQSwUG&#10;AAAAAAYABgBZAQAAwwUAAAAA&#10;">
              <v:fill on="f" focussize="0,0"/>
              <v:stroke on="f" weight="0.5pt"/>
              <v:imagedata o:title=""/>
              <o:lock v:ext="edit" aspectratio="f"/>
              <v:textbox inset="0mm,0mm,0mm,0mm" style="mso-fit-shape-to-text:t;">
                <w:txbxContent>
                  <w:p>
                    <w:pPr>
                      <w:pStyle w:val="2"/>
                      <w:rPr>
                        <w:rFonts w:hint="default"/>
                      </w:rPr>
                    </w:pPr>
                    <w:r>
                      <w:t xml:space="preserve"> </w:t>
                    </w:r>
                    <w:r>
                      <w:fldChar w:fldCharType="begin"/>
                    </w:r>
                    <w:r>
                      <w:instrText xml:space="preserve">PAGE   \* MERGEFORMAT</w:instrText>
                    </w:r>
                    <w:r>
                      <w:fldChar w:fldCharType="separate"/>
                    </w:r>
                    <w:r>
                      <w:rPr>
                        <w:rFonts w:hint="default"/>
                        <w:lang w:val="zh-CN"/>
                      </w:rPr>
                      <w:t>28</w:t>
                    </w:r>
                    <w:r>
                      <w:fldChar w:fldCharType="end"/>
                    </w:r>
                    <w:r>
                      <w:t xml:space="preserve"> </w:t>
                    </w:r>
                  </w:p>
                </w:txbxContent>
              </v:textbox>
            </v:shape>
          </w:pict>
        </mc:Fallback>
      </mc:AlternateContent>
    </w:r>
    <w:r>
      <mc:AlternateContent>
        <mc:Choice Requires="wps">
          <w:drawing>
            <wp:anchor distT="0" distB="0" distL="114300" distR="114300" simplePos="0" relativeHeight="251659264" behindDoc="0" locked="0" layoutInCell="1" allowOverlap="0">
              <wp:simplePos x="0" y="0"/>
              <wp:positionH relativeFrom="margin">
                <wp:align>center</wp:align>
              </wp:positionH>
              <wp:positionV relativeFrom="page">
                <wp:posOffset>14737080</wp:posOffset>
              </wp:positionV>
              <wp:extent cx="1828800" cy="220980"/>
              <wp:effectExtent l="0" t="0" r="0" b="0"/>
              <wp:wrapNone/>
              <wp:docPr id="126" name="文本框 126"/>
              <wp:cNvGraphicFramePr/>
              <a:graphic xmlns:a="http://schemas.openxmlformats.org/drawingml/2006/main">
                <a:graphicData uri="http://schemas.microsoft.com/office/word/2010/wordprocessingShape">
                  <wps:wsp>
                    <wps:cNvSpPr txBox="true"/>
                    <wps:spPr>
                      <a:xfrm>
                        <a:off x="0" y="0"/>
                        <a:ext cx="1828800" cy="220980"/>
                      </a:xfrm>
                      <a:prstGeom prst="rect">
                        <a:avLst/>
                      </a:prstGeom>
                      <a:noFill/>
                      <a:ln w="6350">
                        <a:noFill/>
                      </a:ln>
                      <a:effectLst/>
                    </wps:spPr>
                    <wps:txbx>
                      <w:txbxContent>
                        <w:p>
                          <w:pPr>
                            <w:pStyle w:val="2"/>
                            <w:jc w:val="both"/>
                            <w:rPr>
                              <w:rFonts w:hint="default" w:cs="宋体"/>
                            </w:rPr>
                          </w:pPr>
                          <w:r>
                            <w:rPr>
                              <w:rFonts w:cs="宋体"/>
                            </w:rPr>
                            <w:t>— 27.1 —</w:t>
                          </w:r>
                        </w:p>
                      </w:txbxContent>
                    </wps:txbx>
                    <wps:bodyPr rot="0" spcFirstLastPara="0" vertOverflow="overflow" horzOverflow="overflow" vert="horz" wrap="none" lIns="0" tIns="0" rIns="0" bIns="0" numCol="1" spcCol="0" rtlCol="0" fromWordArt="false" anchor="t" anchorCtr="false" forceAA="false" compatLnSpc="true">
                      <a:noAutofit/>
                    </wps:bodyPr>
                  </wps:wsp>
                </a:graphicData>
              </a:graphic>
            </wp:anchor>
          </w:drawing>
        </mc:Choice>
        <mc:Fallback>
          <w:pict>
            <v:shape id="_x0000_s1026" o:spid="_x0000_s1026"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FgAAAGRy&#10;cy9QSwECFAAUAAAACACHTuJAeA1UVNgAAAAKAQAADwAAAAAAAAABACAAAAA4AAAAZHJzL2Rvd25y&#10;ZXYueG1sUEsBAhQAFAAAAAgAh07iQJMZTUchAgAAKgQAAA4AAAAAAAAAAQAgAAAAPQEAAGRycy9l&#10;Mm9Eb2MueG1sUEsFBgAAAAAGAAYAWQEAANAFAAAAAA==&#10;">
              <v:fill on="f" focussize="0,0"/>
              <v:stroke on="f" weight="0.5pt"/>
              <v:imagedata o:title=""/>
              <o:lock v:ext="edit" aspectratio="f"/>
              <v:textbox inset="0mm,0mm,0mm,0mm">
                <w:txbxContent>
                  <w:p>
                    <w:pPr>
                      <w:pStyle w:val="2"/>
                      <w:jc w:val="both"/>
                      <w:rPr>
                        <w:rFonts w:hint="default" w:cs="宋体"/>
                      </w:rPr>
                    </w:pPr>
                    <w:r>
                      <w:rPr>
                        <w:rFonts w:cs="宋体"/>
                      </w:rPr>
                      <w:t>— 27.1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tabs>
        <w:tab w:val="left" w:pos="1758"/>
        <w:tab w:val="clear" w:pos="4153"/>
        <w:tab w:val="clear" w:pos="8306"/>
      </w:tabs>
      <w:rPr>
        <w:rFonts w:hint="defau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339A02"/>
    <w:multiLevelType w:val="singleLevel"/>
    <w:tmpl w:val="C5339A02"/>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wYWQ1YTE0ZDA0NjgxYzlhMjZlMDExNTFmMWI3MmEifQ=="/>
  </w:docVars>
  <w:rsids>
    <w:rsidRoot w:val="00B03CCD"/>
    <w:rsid w:val="00550ABE"/>
    <w:rsid w:val="007B419D"/>
    <w:rsid w:val="009B67B8"/>
    <w:rsid w:val="00B03CCD"/>
    <w:rsid w:val="00F73F90"/>
    <w:rsid w:val="01474EBF"/>
    <w:rsid w:val="01F3521E"/>
    <w:rsid w:val="03B87EA0"/>
    <w:rsid w:val="03E3214F"/>
    <w:rsid w:val="044C50BA"/>
    <w:rsid w:val="05524683"/>
    <w:rsid w:val="05BC6D49"/>
    <w:rsid w:val="06194FF1"/>
    <w:rsid w:val="06A2550B"/>
    <w:rsid w:val="06F80EE2"/>
    <w:rsid w:val="07001CCA"/>
    <w:rsid w:val="075678DB"/>
    <w:rsid w:val="079D7CC7"/>
    <w:rsid w:val="08051BCA"/>
    <w:rsid w:val="086C12F4"/>
    <w:rsid w:val="08705944"/>
    <w:rsid w:val="08BA052C"/>
    <w:rsid w:val="08DB07BA"/>
    <w:rsid w:val="0969353F"/>
    <w:rsid w:val="098305D0"/>
    <w:rsid w:val="0A3317EA"/>
    <w:rsid w:val="0A5C4B69"/>
    <w:rsid w:val="0A86124A"/>
    <w:rsid w:val="0AB54CC0"/>
    <w:rsid w:val="0B9335CE"/>
    <w:rsid w:val="0BF2311A"/>
    <w:rsid w:val="0C7927C4"/>
    <w:rsid w:val="0C9B098C"/>
    <w:rsid w:val="0D673E11"/>
    <w:rsid w:val="0DDA54E4"/>
    <w:rsid w:val="0E3A5F83"/>
    <w:rsid w:val="0F836721"/>
    <w:rsid w:val="0FA25D96"/>
    <w:rsid w:val="107B59E5"/>
    <w:rsid w:val="10EC0126"/>
    <w:rsid w:val="10F70B9A"/>
    <w:rsid w:val="111445C7"/>
    <w:rsid w:val="114278C6"/>
    <w:rsid w:val="1158083A"/>
    <w:rsid w:val="11643A4B"/>
    <w:rsid w:val="11ED0F98"/>
    <w:rsid w:val="11F03528"/>
    <w:rsid w:val="12C921C4"/>
    <w:rsid w:val="13871C70"/>
    <w:rsid w:val="13A71CB4"/>
    <w:rsid w:val="13AF1D43"/>
    <w:rsid w:val="13CE1647"/>
    <w:rsid w:val="13FD55AB"/>
    <w:rsid w:val="14200702"/>
    <w:rsid w:val="163A6CEE"/>
    <w:rsid w:val="173708E3"/>
    <w:rsid w:val="17C374FC"/>
    <w:rsid w:val="189079DC"/>
    <w:rsid w:val="189B0D0B"/>
    <w:rsid w:val="18B43F7C"/>
    <w:rsid w:val="194A1770"/>
    <w:rsid w:val="19B906A4"/>
    <w:rsid w:val="1B6F15B6"/>
    <w:rsid w:val="1BAA2EDC"/>
    <w:rsid w:val="1CA55E64"/>
    <w:rsid w:val="1D014A01"/>
    <w:rsid w:val="1D022362"/>
    <w:rsid w:val="1D1B04B0"/>
    <w:rsid w:val="1DA52501"/>
    <w:rsid w:val="1DBD6767"/>
    <w:rsid w:val="1DC52125"/>
    <w:rsid w:val="1DD26311"/>
    <w:rsid w:val="1E374ACB"/>
    <w:rsid w:val="1ECF0A66"/>
    <w:rsid w:val="1EF67CA4"/>
    <w:rsid w:val="1F020D3A"/>
    <w:rsid w:val="1F2C5189"/>
    <w:rsid w:val="1F4B0B02"/>
    <w:rsid w:val="1FBB35CD"/>
    <w:rsid w:val="1FCD26AF"/>
    <w:rsid w:val="20642787"/>
    <w:rsid w:val="21556F04"/>
    <w:rsid w:val="22403BD3"/>
    <w:rsid w:val="22A374B5"/>
    <w:rsid w:val="24B92327"/>
    <w:rsid w:val="24C14514"/>
    <w:rsid w:val="2533755C"/>
    <w:rsid w:val="25791755"/>
    <w:rsid w:val="26396DF4"/>
    <w:rsid w:val="27167136"/>
    <w:rsid w:val="27B23302"/>
    <w:rsid w:val="29310A5F"/>
    <w:rsid w:val="29C37A35"/>
    <w:rsid w:val="2A076083"/>
    <w:rsid w:val="2A73162E"/>
    <w:rsid w:val="2B026E33"/>
    <w:rsid w:val="2B167953"/>
    <w:rsid w:val="2B200583"/>
    <w:rsid w:val="2B8209DE"/>
    <w:rsid w:val="2C6762A3"/>
    <w:rsid w:val="2FCA4B37"/>
    <w:rsid w:val="2FE029D7"/>
    <w:rsid w:val="2FF06E00"/>
    <w:rsid w:val="30586FEC"/>
    <w:rsid w:val="315F0B22"/>
    <w:rsid w:val="31D84415"/>
    <w:rsid w:val="32285F6F"/>
    <w:rsid w:val="32770556"/>
    <w:rsid w:val="329C0913"/>
    <w:rsid w:val="32AA0460"/>
    <w:rsid w:val="3337290D"/>
    <w:rsid w:val="33E31118"/>
    <w:rsid w:val="33EF7674"/>
    <w:rsid w:val="342D7BC6"/>
    <w:rsid w:val="352930DB"/>
    <w:rsid w:val="35573069"/>
    <w:rsid w:val="355F6038"/>
    <w:rsid w:val="358C217E"/>
    <w:rsid w:val="36C9128A"/>
    <w:rsid w:val="37841E99"/>
    <w:rsid w:val="37BF1123"/>
    <w:rsid w:val="383C3F15"/>
    <w:rsid w:val="38BE4696"/>
    <w:rsid w:val="3939115E"/>
    <w:rsid w:val="39B82A39"/>
    <w:rsid w:val="39C42CA8"/>
    <w:rsid w:val="39DC4FD6"/>
    <w:rsid w:val="39F03D7A"/>
    <w:rsid w:val="39F33306"/>
    <w:rsid w:val="3A2C1C67"/>
    <w:rsid w:val="3B1705E5"/>
    <w:rsid w:val="3B18334B"/>
    <w:rsid w:val="3B36794F"/>
    <w:rsid w:val="3C566AD6"/>
    <w:rsid w:val="3C6A5B02"/>
    <w:rsid w:val="3D2757A1"/>
    <w:rsid w:val="3D3D4FC4"/>
    <w:rsid w:val="3DDF3AB1"/>
    <w:rsid w:val="3E1D0952"/>
    <w:rsid w:val="3E42660A"/>
    <w:rsid w:val="3E7555B1"/>
    <w:rsid w:val="3E787ED9"/>
    <w:rsid w:val="3F032E93"/>
    <w:rsid w:val="3F0527E5"/>
    <w:rsid w:val="3F694D83"/>
    <w:rsid w:val="3F885DCC"/>
    <w:rsid w:val="3FCD675E"/>
    <w:rsid w:val="4004000C"/>
    <w:rsid w:val="411B6CE5"/>
    <w:rsid w:val="412070D7"/>
    <w:rsid w:val="41314E40"/>
    <w:rsid w:val="41B70A40"/>
    <w:rsid w:val="41E0734B"/>
    <w:rsid w:val="426C1EA8"/>
    <w:rsid w:val="42736402"/>
    <w:rsid w:val="42E86A87"/>
    <w:rsid w:val="43307B09"/>
    <w:rsid w:val="438C4686"/>
    <w:rsid w:val="439A3EB9"/>
    <w:rsid w:val="43BB152F"/>
    <w:rsid w:val="44C37687"/>
    <w:rsid w:val="45CB699A"/>
    <w:rsid w:val="463D70CE"/>
    <w:rsid w:val="465B470D"/>
    <w:rsid w:val="469D6AD4"/>
    <w:rsid w:val="471E6C84"/>
    <w:rsid w:val="4748792B"/>
    <w:rsid w:val="475D719D"/>
    <w:rsid w:val="47674801"/>
    <w:rsid w:val="48225EF7"/>
    <w:rsid w:val="488F422B"/>
    <w:rsid w:val="48E36915"/>
    <w:rsid w:val="495C4A24"/>
    <w:rsid w:val="497135DF"/>
    <w:rsid w:val="4A263DF2"/>
    <w:rsid w:val="4A6F6675"/>
    <w:rsid w:val="4B135857"/>
    <w:rsid w:val="4B7951CB"/>
    <w:rsid w:val="4B7C315C"/>
    <w:rsid w:val="4DAC4ACA"/>
    <w:rsid w:val="4DBE01D2"/>
    <w:rsid w:val="4F0C6BA3"/>
    <w:rsid w:val="4F186D58"/>
    <w:rsid w:val="50F06B6E"/>
    <w:rsid w:val="51D21804"/>
    <w:rsid w:val="52234D33"/>
    <w:rsid w:val="522F6E0C"/>
    <w:rsid w:val="52463BA1"/>
    <w:rsid w:val="52F163D4"/>
    <w:rsid w:val="531A2DB4"/>
    <w:rsid w:val="53C0244D"/>
    <w:rsid w:val="53DD4D4E"/>
    <w:rsid w:val="53E578CE"/>
    <w:rsid w:val="541330F0"/>
    <w:rsid w:val="54272666"/>
    <w:rsid w:val="543B029D"/>
    <w:rsid w:val="54861779"/>
    <w:rsid w:val="552256E1"/>
    <w:rsid w:val="554E5773"/>
    <w:rsid w:val="555A3CBC"/>
    <w:rsid w:val="5582012B"/>
    <w:rsid w:val="558E4E05"/>
    <w:rsid w:val="55BE2E85"/>
    <w:rsid w:val="56530F5D"/>
    <w:rsid w:val="567700D3"/>
    <w:rsid w:val="56FF7E9E"/>
    <w:rsid w:val="578867FC"/>
    <w:rsid w:val="5842572D"/>
    <w:rsid w:val="5A3B59D6"/>
    <w:rsid w:val="5AD134D8"/>
    <w:rsid w:val="5C263CE4"/>
    <w:rsid w:val="5C5D2777"/>
    <w:rsid w:val="5CF66BF3"/>
    <w:rsid w:val="5D290C69"/>
    <w:rsid w:val="5E973B2A"/>
    <w:rsid w:val="5F2D4A41"/>
    <w:rsid w:val="60C74F6C"/>
    <w:rsid w:val="61025A59"/>
    <w:rsid w:val="613D5BBC"/>
    <w:rsid w:val="61536C39"/>
    <w:rsid w:val="62944DD7"/>
    <w:rsid w:val="6319381F"/>
    <w:rsid w:val="63C25DC5"/>
    <w:rsid w:val="63C62057"/>
    <w:rsid w:val="64571EF5"/>
    <w:rsid w:val="64FB113D"/>
    <w:rsid w:val="656152C6"/>
    <w:rsid w:val="6587477F"/>
    <w:rsid w:val="658C3A08"/>
    <w:rsid w:val="65C031CA"/>
    <w:rsid w:val="65CE6852"/>
    <w:rsid w:val="66267C04"/>
    <w:rsid w:val="663F505A"/>
    <w:rsid w:val="66EE5541"/>
    <w:rsid w:val="67924660"/>
    <w:rsid w:val="68407834"/>
    <w:rsid w:val="6883293E"/>
    <w:rsid w:val="688412AD"/>
    <w:rsid w:val="68EB1B71"/>
    <w:rsid w:val="6AAD2300"/>
    <w:rsid w:val="6B474EF5"/>
    <w:rsid w:val="6BCA4DEE"/>
    <w:rsid w:val="6C560CAE"/>
    <w:rsid w:val="6C576495"/>
    <w:rsid w:val="6D7DFED5"/>
    <w:rsid w:val="6D903FF5"/>
    <w:rsid w:val="6DA955B8"/>
    <w:rsid w:val="6DE346AB"/>
    <w:rsid w:val="6DE5391A"/>
    <w:rsid w:val="6EFD1324"/>
    <w:rsid w:val="6F5A53AC"/>
    <w:rsid w:val="6FAC003D"/>
    <w:rsid w:val="6FE55E12"/>
    <w:rsid w:val="6FFB2E76"/>
    <w:rsid w:val="708F6F7F"/>
    <w:rsid w:val="70D94BD3"/>
    <w:rsid w:val="71C34D91"/>
    <w:rsid w:val="72DB435C"/>
    <w:rsid w:val="72E2613A"/>
    <w:rsid w:val="72F771F4"/>
    <w:rsid w:val="73934AD2"/>
    <w:rsid w:val="74B12342"/>
    <w:rsid w:val="750837F0"/>
    <w:rsid w:val="754758CF"/>
    <w:rsid w:val="764F62AB"/>
    <w:rsid w:val="765C45EC"/>
    <w:rsid w:val="768A7619"/>
    <w:rsid w:val="772E1EBA"/>
    <w:rsid w:val="781926BC"/>
    <w:rsid w:val="796D60A4"/>
    <w:rsid w:val="79A031D5"/>
    <w:rsid w:val="7A1525F7"/>
    <w:rsid w:val="7B420052"/>
    <w:rsid w:val="7BD06A28"/>
    <w:rsid w:val="7C0A4C9B"/>
    <w:rsid w:val="7C3A7C0B"/>
    <w:rsid w:val="7C5248E4"/>
    <w:rsid w:val="7C566698"/>
    <w:rsid w:val="7C5866A3"/>
    <w:rsid w:val="7D7406BB"/>
    <w:rsid w:val="7DE94331"/>
    <w:rsid w:val="7F2C7D5A"/>
    <w:rsid w:val="7F446A19"/>
    <w:rsid w:val="7F7452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rPr>
      <w:rFonts w:hint="eastAsia" w:ascii="宋体" w:hAnsi="宋体" w:eastAsia="宋体" w:cs="Times New Roman"/>
      <w:sz w:val="24"/>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pPr>
    <w:rPr>
      <w:sz w:val="18"/>
      <w:szCs w:val="18"/>
    </w:rPr>
  </w:style>
  <w:style w:type="paragraph" w:styleId="3">
    <w:name w:val="header"/>
    <w:basedOn w:val="1"/>
    <w:qFormat/>
    <w:uiPriority w:val="0"/>
    <w:pPr>
      <w:tabs>
        <w:tab w:val="center" w:pos="4153"/>
        <w:tab w:val="right" w:pos="8306"/>
      </w:tabs>
      <w:snapToGrid w:val="0"/>
      <w:jc w:val="center"/>
    </w:pPr>
    <w:rPr>
      <w:sz w:val="18"/>
      <w:szCs w:val="18"/>
    </w:rPr>
  </w:style>
  <w:style w:type="paragraph" w:styleId="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5">
    <w:name w:val="Normal (Web)"/>
    <w:basedOn w:val="1"/>
    <w:unhideWhenUsed/>
    <w:qFormat/>
    <w:uiPriority w:val="0"/>
    <w:pPr>
      <w:spacing w:before="100" w:beforeAutospacing="1" w:after="100" w:afterAutospacing="1"/>
    </w:p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qFormat/>
    <w:uiPriority w:val="0"/>
    <w:rPr>
      <w:b/>
    </w:rPr>
  </w:style>
  <w:style w:type="paragraph" w:customStyle="1" w:styleId="10">
    <w:name w:val="列出段落1"/>
    <w:basedOn w:val="1"/>
    <w:qFormat/>
    <w:uiPriority w:val="99"/>
    <w:pPr>
      <w:ind w:firstLine="420" w:firstLineChars="200"/>
    </w:pPr>
    <w:rPr>
      <w:rFonts w:hint="default"/>
    </w:rPr>
  </w:style>
  <w:style w:type="paragraph" w:customStyle="1" w:styleId="11">
    <w:name w:val="普通(网站) Char"/>
    <w:qFormat/>
    <w:uiPriority w:val="0"/>
    <w:pPr>
      <w:spacing w:before="100" w:beforeAutospacing="1" w:after="100" w:afterAutospacing="1"/>
    </w:pPr>
    <w:rPr>
      <w:rFonts w:hint="default" w:ascii="宋体" w:hAnsi="宋体" w:eastAsia="宋体" w:cs="Times New Roman"/>
      <w:sz w:val="24"/>
      <w:szCs w:val="24"/>
      <w:lang w:val="en-US" w:eastAsia="zh-CN" w:bidi="ar-SA"/>
    </w:rPr>
  </w:style>
  <w:style w:type="character" w:customStyle="1" w:styleId="12">
    <w:name w:val="21"/>
    <w:qFormat/>
    <w:uiPriority w:val="0"/>
    <w:rPr>
      <w:rFonts w:hint="default" w:ascii="Wingdings" w:hAnsi="Wingdings" w:cs="Wingdings"/>
      <w:b/>
      <w:bCs/>
    </w:rPr>
  </w:style>
  <w:style w:type="paragraph" w:customStyle="1" w:styleId="13">
    <w:name w:val="List Paragraph"/>
    <w:qFormat/>
    <w:uiPriority w:val="99"/>
    <w:pPr>
      <w:ind w:firstLine="420" w:firstLineChars="200"/>
    </w:pPr>
    <w:rPr>
      <w:rFonts w:hint="default" w:ascii="宋体" w:hAnsi="宋体" w:eastAsia="宋体" w:cs="Times New Roman"/>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32</Pages>
  <Words>9795</Words>
  <Characters>24154</Characters>
  <Lines>161</Lines>
  <Paragraphs>45</Paragraphs>
  <TotalTime>0</TotalTime>
  <ScaleCrop>false</ScaleCrop>
  <LinksUpToDate>false</LinksUpToDate>
  <CharactersWithSpaces>24644</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2024-07-11T10:00:00Z</dcterms:created>
  <dc:creator>Administrator</dc:creator>
  <cp:lastModifiedBy>kylin</cp:lastModifiedBy>
  <dcterms:modified xsi:type="dcterms:W3CDTF">2025-09-18T10:40:15Z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BB46EABDBB2749749395447164B066B3_12</vt:lpwstr>
  </property>
</Properties>
</file>