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pacing w:before="0" w:beforeAutospacing="0"/>
        <w:jc w:val="center"/>
        <w:rPr>
          <w:rFonts w:hint="default" w:ascii="方正小标宋_GBK" w:hAnsi="方正小标宋_GBK" w:eastAsia="方正小标宋_GBK" w:cs="方正小标宋_GBK"/>
          <w:sz w:val="36"/>
          <w:szCs w:val="36"/>
          <w:shd w:val="clear" w:color="auto" w:fill="FFFFFF"/>
        </w:rPr>
      </w:pPr>
      <w:r>
        <w:rPr>
          <w:rFonts w:ascii="方正小标宋_GBK" w:hAnsi="方正小标宋_GBK" w:eastAsia="方正小标宋_GBK" w:cs="方正小标宋_GBK"/>
          <w:sz w:val="36"/>
          <w:szCs w:val="36"/>
        </w:rPr>
        <w:t>重庆市黔江区城东街道办事处退役军人服务站</w:t>
      </w:r>
      <w:r>
        <w:rPr>
          <w:rFonts w:hint="eastAsia" w:ascii="方正小标宋_GBK" w:hAnsi="方正小标宋_GBK" w:eastAsia="方正小标宋_GBK" w:cs="方正小标宋_GBK"/>
          <w:sz w:val="36"/>
          <w:szCs w:val="36"/>
          <w:shd w:val="clear" w:color="auto" w:fill="FFFFFF"/>
          <w:lang w:eastAsia="zh-CN"/>
        </w:rPr>
        <w:t>2024年</w:t>
      </w:r>
      <w:r>
        <w:rPr>
          <w:rFonts w:ascii="方正小标宋_GBK" w:hAnsi="方正小标宋_GBK" w:eastAsia="方正小标宋_GBK" w:cs="方正小标宋_GBK"/>
          <w:sz w:val="36"/>
          <w:szCs w:val="36"/>
          <w:shd w:val="clear" w:color="auto" w:fill="FFFFFF"/>
        </w:rPr>
        <w:t>度决算</w:t>
      </w:r>
      <w:r>
        <w:rPr>
          <w:rFonts w:hint="eastAsia" w:ascii="方正小标宋_GBK" w:hAnsi="方正小标宋_GBK" w:eastAsia="方正小标宋_GBK" w:cs="方正小标宋_GBK"/>
          <w:sz w:val="36"/>
          <w:szCs w:val="36"/>
          <w:shd w:val="clear" w:color="auto" w:fill="FFFFFF"/>
          <w:lang w:eastAsia="zh-CN"/>
        </w:rPr>
        <w:t>公开</w:t>
      </w:r>
      <w:r>
        <w:rPr>
          <w:rFonts w:ascii="方正小标宋_GBK" w:hAnsi="方正小标宋_GBK" w:eastAsia="方正小标宋_GBK" w:cs="方正小标宋_GBK"/>
          <w:sz w:val="36"/>
          <w:szCs w:val="36"/>
          <w:shd w:val="clear" w:color="auto" w:fill="FFFFFF"/>
        </w:rPr>
        <w:t>说明</w:t>
      </w:r>
    </w:p>
    <w:p>
      <w:pPr>
        <w:pStyle w:val="5"/>
        <w:shd w:val="clear" w:color="auto" w:fill="FFFFFF"/>
        <w:rPr>
          <w:rFonts w:hint="eastAsia" w:ascii="黑体" w:hAnsi="黑体" w:eastAsia="黑体" w:cs="黑体"/>
          <w:sz w:val="32"/>
          <w:szCs w:val="32"/>
        </w:rPr>
      </w:pPr>
      <w:r>
        <w:rPr>
          <w:rStyle w:val="9"/>
          <w:rFonts w:hint="eastAsia" w:ascii="黑体" w:hAnsi="黑体" w:eastAsia="黑体" w:cs="黑体"/>
          <w:sz w:val="32"/>
          <w:szCs w:val="32"/>
          <w:shd w:val="clear" w:color="auto" w:fill="FFFFFF"/>
        </w:rPr>
        <w:t>一、部门基本情况</w:t>
      </w:r>
    </w:p>
    <w:p>
      <w:pPr>
        <w:pStyle w:val="5"/>
        <w:shd w:val="clear" w:color="auto" w:fill="FFFFFF"/>
        <w:ind w:firstLine="420"/>
        <w:rPr>
          <w:rFonts w:hint="default" w:ascii="方正仿宋_GBK" w:hAnsi="方正仿宋_GBK" w:eastAsia="方正仿宋_GBK" w:cs="方正仿宋_GBK"/>
          <w:sz w:val="32"/>
          <w:szCs w:val="32"/>
        </w:rPr>
      </w:pPr>
      <w:r>
        <w:rPr>
          <w:rStyle w:val="9"/>
          <w:rFonts w:hint="eastAsia" w:ascii="楷体" w:hAnsi="楷体" w:eastAsia="楷体" w:cs="楷体"/>
          <w:sz w:val="32"/>
          <w:szCs w:val="32"/>
          <w:shd w:val="clear" w:color="auto" w:fill="FFFFFF"/>
        </w:rPr>
        <w:t>（一）职能职责</w:t>
      </w:r>
    </w:p>
    <w:p>
      <w:pPr>
        <w:pStyle w:val="5"/>
        <w:shd w:val="clear" w:color="auto" w:fill="FFFFFF"/>
        <w:ind w:firstLine="420"/>
        <w:rPr>
          <w:rFonts w:hint="eastAsia" w:ascii="方正仿宋_GBK" w:hAnsi="方正仿宋_GBK" w:eastAsia="方正仿宋_GBK" w:cs="方正仿宋_GBK"/>
          <w:color w:val="auto"/>
          <w:sz w:val="32"/>
          <w:szCs w:val="32"/>
          <w:shd w:val="clear" w:color="auto" w:fill="FFFFFF"/>
        </w:rPr>
      </w:pPr>
      <w:r>
        <w:rPr>
          <w:rFonts w:hint="eastAsia" w:ascii="方正仿宋_GBK" w:hAnsi="方正仿宋_GBK" w:eastAsia="方正仿宋_GBK" w:cs="方正仿宋_GBK"/>
          <w:color w:val="auto"/>
          <w:sz w:val="32"/>
          <w:szCs w:val="32"/>
          <w:shd w:val="clear" w:color="auto" w:fill="FFFFFF"/>
        </w:rPr>
        <w:t>城东街道退役军人服务站主要承担为退役军人和其他优抚对象提供服务、援助和帮扶，合理反映、处理退役军人和其他优抚对象的诉求等工作。</w:t>
      </w:r>
    </w:p>
    <w:p>
      <w:pPr>
        <w:pStyle w:val="5"/>
        <w:shd w:val="clear" w:color="auto" w:fill="FFFFFF"/>
        <w:ind w:firstLine="420"/>
        <w:rPr>
          <w:rFonts w:hint="eastAsia" w:ascii="楷体" w:hAnsi="楷体" w:eastAsia="楷体" w:cs="楷体"/>
          <w:sz w:val="32"/>
          <w:szCs w:val="32"/>
        </w:rPr>
      </w:pPr>
      <w:r>
        <w:rPr>
          <w:rStyle w:val="9"/>
          <w:rFonts w:hint="eastAsia" w:ascii="楷体" w:hAnsi="楷体" w:eastAsia="楷体" w:cs="楷体"/>
          <w:sz w:val="32"/>
          <w:szCs w:val="32"/>
          <w:shd w:val="clear" w:color="auto" w:fill="FFFFFF"/>
        </w:rPr>
        <w:t>（二）机构设置</w:t>
      </w:r>
    </w:p>
    <w:p>
      <w:pPr>
        <w:pStyle w:val="5"/>
        <w:shd w:val="clear" w:color="auto" w:fill="FFFFFF"/>
        <w:ind w:firstLine="640" w:firstLineChars="200"/>
        <w:rPr>
          <w:rFonts w:hint="eastAsia" w:ascii="方正仿宋_GBK" w:hAnsi="方正仿宋_GBK" w:eastAsia="方正仿宋_GBK" w:cs="方正仿宋_GBK"/>
          <w:color w:val="auto"/>
          <w:sz w:val="32"/>
          <w:szCs w:val="32"/>
          <w:shd w:val="clear" w:color="auto" w:fill="FFFFFF"/>
        </w:rPr>
      </w:pPr>
      <w:r>
        <w:rPr>
          <w:rFonts w:hint="eastAsia" w:ascii="方正仿宋_GBK" w:hAnsi="方正仿宋_GBK" w:eastAsia="方正仿宋_GBK" w:cs="方正仿宋_GBK"/>
          <w:color w:val="auto"/>
          <w:sz w:val="32"/>
          <w:szCs w:val="32"/>
          <w:shd w:val="clear" w:color="auto" w:fill="FFFFFF"/>
        </w:rPr>
        <w:t>2024年，我单位纳入部门决算编报范围独立核算单位1个，无下属内设机构。</w:t>
      </w:r>
    </w:p>
    <w:p>
      <w:pPr>
        <w:pStyle w:val="5"/>
        <w:shd w:val="clear" w:color="auto" w:fill="FFFFFF"/>
        <w:rPr>
          <w:rFonts w:hint="default" w:ascii="方正仿宋_GBK" w:hAnsi="方正仿宋_GBK" w:eastAsia="方正仿宋_GBK" w:cs="方正仿宋_GBK"/>
          <w:sz w:val="32"/>
          <w:szCs w:val="32"/>
        </w:rPr>
      </w:pPr>
      <w:r>
        <w:rPr>
          <w:rStyle w:val="9"/>
          <w:rFonts w:hint="eastAsia" w:ascii="黑体" w:hAnsi="黑体" w:eastAsia="黑体" w:cs="黑体"/>
          <w:sz w:val="32"/>
          <w:szCs w:val="32"/>
          <w:shd w:val="clear" w:color="auto" w:fill="FFFFFF"/>
        </w:rPr>
        <w:t>二、部门决算情况说明</w:t>
      </w:r>
    </w:p>
    <w:p>
      <w:pPr>
        <w:pStyle w:val="10"/>
        <w:autoSpaceDE w:val="0"/>
        <w:ind w:firstLine="640"/>
        <w:rPr>
          <w:rFonts w:hint="eastAsia" w:ascii="楷体" w:hAnsi="楷体" w:eastAsia="楷体" w:cs="楷体"/>
          <w:b/>
          <w:bCs/>
          <w:sz w:val="32"/>
          <w:szCs w:val="32"/>
          <w:shd w:val="clear" w:color="auto" w:fill="FFFFFF"/>
          <w:lang w:bidi="ar"/>
        </w:rPr>
      </w:pPr>
      <w:r>
        <w:rPr>
          <w:rFonts w:hint="eastAsia" w:ascii="楷体" w:hAnsi="楷体" w:eastAsia="楷体" w:cs="楷体"/>
          <w:b/>
          <w:bCs/>
          <w:sz w:val="32"/>
          <w:szCs w:val="32"/>
          <w:shd w:val="clear" w:color="auto" w:fill="FFFFFF"/>
          <w:lang w:bidi="ar"/>
        </w:rPr>
        <w:t>（一）收入支出决算总体情况说明。</w:t>
      </w:r>
    </w:p>
    <w:p>
      <w:pPr>
        <w:pStyle w:val="5"/>
        <w:shd w:val="clear" w:color="auto" w:fill="FFFFFF"/>
        <w:ind w:firstLine="642" w:firstLineChars="200"/>
        <w:rPr>
          <w:rFonts w:hint="default" w:ascii="方正仿宋_GBK" w:hAnsi="方正仿宋_GBK" w:eastAsia="方正仿宋_GBK" w:cs="方正仿宋_GBK"/>
          <w:sz w:val="32"/>
          <w:szCs w:val="32"/>
        </w:rPr>
      </w:pPr>
      <w:r>
        <w:rPr>
          <w:rStyle w:val="9"/>
          <w:rFonts w:ascii="方正仿宋_GBK" w:hAnsi="方正仿宋_GBK" w:eastAsia="方正仿宋_GBK" w:cs="方正仿宋_GBK"/>
          <w:sz w:val="32"/>
          <w:szCs w:val="32"/>
          <w:shd w:val="clear" w:color="auto" w:fill="FFFFFF"/>
        </w:rPr>
        <w:t>1.总体情况。</w:t>
      </w:r>
      <w:r>
        <w:rPr>
          <w:rFonts w:hint="eastAsia" w:ascii="方正仿宋_GBK" w:hAnsi="方正仿宋_GBK" w:eastAsia="方正仿宋_GBK" w:cs="方正仿宋_GBK"/>
          <w:sz w:val="32"/>
          <w:szCs w:val="32"/>
          <w:shd w:val="clear" w:color="auto" w:fill="FFFFFF"/>
          <w:lang w:eastAsia="zh-CN"/>
        </w:rPr>
        <w:t>2024年</w:t>
      </w:r>
      <w:r>
        <w:rPr>
          <w:rFonts w:ascii="方正仿宋_GBK" w:hAnsi="方正仿宋_GBK" w:eastAsia="方正仿宋_GBK" w:cs="方正仿宋_GBK"/>
          <w:sz w:val="32"/>
          <w:szCs w:val="32"/>
          <w:shd w:val="clear" w:color="auto" w:fill="FFFFFF"/>
        </w:rPr>
        <w:t>度收入总计54.44万元，支出总计</w:t>
      </w:r>
      <w:r>
        <w:rPr>
          <w:rFonts w:ascii="方正仿宋_GBK" w:hAnsi="方正仿宋_GBK" w:eastAsia="方正仿宋_GBK" w:cs="方正仿宋_GBK"/>
          <w:color w:val="auto"/>
          <w:sz w:val="32"/>
          <w:szCs w:val="32"/>
        </w:rPr>
        <w:t>54.44</w:t>
      </w:r>
      <w:r>
        <w:rPr>
          <w:rFonts w:ascii="方正仿宋_GBK" w:hAnsi="方正仿宋_GBK" w:eastAsia="方正仿宋_GBK" w:cs="方正仿宋_GBK"/>
          <w:color w:val="auto"/>
          <w:sz w:val="32"/>
          <w:szCs w:val="32"/>
          <w:shd w:val="clear" w:color="auto" w:fill="FFFFFF"/>
        </w:rPr>
        <w:t>万元。收、支与2023年度相比，减少0.38万元，下降0.7%，主要原因是</w:t>
      </w:r>
      <w:r>
        <w:rPr>
          <w:rFonts w:hint="eastAsia" w:ascii="方正仿宋_GBK" w:hAnsi="方正仿宋_GBK" w:eastAsia="方正仿宋_GBK" w:cs="方正仿宋_GBK"/>
          <w:color w:val="auto"/>
          <w:sz w:val="32"/>
          <w:szCs w:val="32"/>
          <w:shd w:val="clear" w:color="auto" w:fill="FFFFFF"/>
        </w:rPr>
        <w:t>本年度</w:t>
      </w:r>
      <w:r>
        <w:rPr>
          <w:rFonts w:hint="eastAsia" w:ascii="方正仿宋_GBK" w:hAnsi="方正仿宋_GBK" w:eastAsia="方正仿宋_GBK" w:cs="方正仿宋_GBK"/>
          <w:color w:val="auto"/>
          <w:sz w:val="32"/>
          <w:szCs w:val="32"/>
          <w:shd w:val="clear" w:color="auto" w:fill="FFFFFF"/>
          <w:lang w:eastAsia="zh-CN"/>
        </w:rPr>
        <w:t>人员调动</w:t>
      </w:r>
      <w:r>
        <w:rPr>
          <w:rFonts w:hint="eastAsia" w:ascii="方正仿宋_GBK" w:hAnsi="方正仿宋_GBK" w:eastAsia="方正仿宋_GBK" w:cs="方正仿宋_GBK"/>
          <w:color w:val="auto"/>
          <w:sz w:val="32"/>
          <w:szCs w:val="32"/>
          <w:shd w:val="clear" w:color="auto" w:fill="FFFFFF"/>
        </w:rPr>
        <w:t>、社保工资标准变化等导致人员类</w:t>
      </w:r>
      <w:r>
        <w:rPr>
          <w:rFonts w:hint="eastAsia" w:ascii="方正仿宋_GBK" w:hAnsi="方正仿宋_GBK" w:eastAsia="方正仿宋_GBK" w:cs="方正仿宋_GBK"/>
          <w:color w:val="auto"/>
          <w:sz w:val="32"/>
          <w:szCs w:val="32"/>
          <w:shd w:val="clear" w:color="auto" w:fill="FFFFFF"/>
          <w:lang w:eastAsia="zh-CN"/>
        </w:rPr>
        <w:t>收支减少</w:t>
      </w:r>
      <w:r>
        <w:rPr>
          <w:rFonts w:hint="eastAsia" w:ascii="方正仿宋_GBK" w:hAnsi="方正仿宋_GBK" w:eastAsia="方正仿宋_GBK" w:cs="方正仿宋_GBK"/>
          <w:color w:val="auto"/>
          <w:sz w:val="32"/>
          <w:szCs w:val="32"/>
          <w:shd w:val="clear" w:color="auto" w:fill="FFFFFF"/>
        </w:rPr>
        <w:t>。</w:t>
      </w:r>
    </w:p>
    <w:p>
      <w:pPr>
        <w:pStyle w:val="5"/>
        <w:snapToGrid w:val="0"/>
        <w:spacing w:before="0" w:beforeAutospacing="0" w:after="0" w:afterAutospacing="0" w:line="600" w:lineRule="exact"/>
        <w:ind w:firstLine="642" w:firstLineChars="200"/>
        <w:jc w:val="both"/>
        <w:rPr>
          <w:rFonts w:hint="default" w:ascii="方正仿宋_GBK" w:hAnsi="方正仿宋_GBK" w:eastAsia="方正仿宋_GBK" w:cs="方正仿宋_GBK"/>
          <w:sz w:val="32"/>
          <w:szCs w:val="32"/>
          <w:shd w:val="clear" w:color="auto" w:fill="FFFFFF"/>
        </w:rPr>
      </w:pPr>
      <w:r>
        <w:rPr>
          <w:rStyle w:val="9"/>
          <w:rFonts w:ascii="方正仿宋_GBK" w:hAnsi="方正仿宋_GBK" w:eastAsia="方正仿宋_GBK" w:cs="方正仿宋_GBK"/>
          <w:sz w:val="32"/>
          <w:szCs w:val="32"/>
          <w:shd w:val="clear" w:color="auto" w:fill="FFFFFF"/>
        </w:rPr>
        <w:t>2.收入情况。</w:t>
      </w:r>
      <w:r>
        <w:rPr>
          <w:rFonts w:hint="eastAsia" w:ascii="方正仿宋_GBK" w:hAnsi="方正仿宋_GBK" w:eastAsia="方正仿宋_GBK" w:cs="方正仿宋_GBK"/>
          <w:sz w:val="32"/>
          <w:szCs w:val="32"/>
          <w:shd w:val="clear" w:color="auto" w:fill="FFFFFF"/>
          <w:lang w:eastAsia="zh-CN"/>
        </w:rPr>
        <w:t>2024年</w:t>
      </w:r>
      <w:r>
        <w:rPr>
          <w:rFonts w:ascii="方正仿宋_GBK" w:hAnsi="方正仿宋_GBK" w:eastAsia="方正仿宋_GBK" w:cs="方正仿宋_GBK"/>
          <w:sz w:val="32"/>
          <w:szCs w:val="32"/>
          <w:shd w:val="clear" w:color="auto" w:fill="FFFFFF"/>
        </w:rPr>
        <w:t>度收入合计</w:t>
      </w:r>
      <w:r>
        <w:rPr>
          <w:rFonts w:hint="eastAsia" w:ascii="方正仿宋_GBK" w:hAnsi="方正仿宋_GBK" w:eastAsia="方正仿宋_GBK" w:cs="方正仿宋_GBK"/>
          <w:sz w:val="32"/>
          <w:szCs w:val="32"/>
          <w:shd w:val="clear" w:color="auto" w:fill="FFFFFF"/>
        </w:rPr>
        <w:t>54.44</w:t>
      </w:r>
      <w:r>
        <w:rPr>
          <w:rFonts w:ascii="方正仿宋_GBK" w:hAnsi="方正仿宋_GBK" w:eastAsia="方正仿宋_GBK" w:cs="方正仿宋_GBK"/>
          <w:sz w:val="32"/>
          <w:szCs w:val="32"/>
          <w:shd w:val="clear" w:color="auto" w:fill="FFFFFF"/>
        </w:rPr>
        <w:t>万元，与2023年度相比，减少0.38万元，下降0.7%，主要原因是</w:t>
      </w:r>
      <w:r>
        <w:rPr>
          <w:rFonts w:hint="eastAsia" w:ascii="方正仿宋_GBK" w:hAnsi="方正仿宋_GBK" w:eastAsia="方正仿宋_GBK" w:cs="方正仿宋_GBK"/>
          <w:color w:val="auto"/>
          <w:sz w:val="32"/>
          <w:szCs w:val="32"/>
          <w:shd w:val="clear" w:color="auto" w:fill="FFFFFF"/>
        </w:rPr>
        <w:t>本年度</w:t>
      </w:r>
      <w:r>
        <w:rPr>
          <w:rFonts w:hint="eastAsia" w:ascii="方正仿宋_GBK" w:hAnsi="方正仿宋_GBK" w:eastAsia="方正仿宋_GBK" w:cs="方正仿宋_GBK"/>
          <w:color w:val="auto"/>
          <w:sz w:val="32"/>
          <w:szCs w:val="32"/>
          <w:shd w:val="clear" w:color="auto" w:fill="FFFFFF"/>
          <w:lang w:eastAsia="zh-CN"/>
        </w:rPr>
        <w:t>人员调动</w:t>
      </w:r>
      <w:r>
        <w:rPr>
          <w:rFonts w:hint="eastAsia" w:ascii="方正仿宋_GBK" w:hAnsi="方正仿宋_GBK" w:eastAsia="方正仿宋_GBK" w:cs="方正仿宋_GBK"/>
          <w:color w:val="auto"/>
          <w:sz w:val="32"/>
          <w:szCs w:val="32"/>
          <w:shd w:val="clear" w:color="auto" w:fill="FFFFFF"/>
        </w:rPr>
        <w:t>、社保工资标准变化等导致人员类</w:t>
      </w:r>
      <w:r>
        <w:rPr>
          <w:rFonts w:hint="eastAsia" w:ascii="方正仿宋_GBK" w:hAnsi="方正仿宋_GBK" w:eastAsia="方正仿宋_GBK" w:cs="方正仿宋_GBK"/>
          <w:color w:val="auto"/>
          <w:sz w:val="32"/>
          <w:szCs w:val="32"/>
          <w:shd w:val="clear" w:color="auto" w:fill="FFFFFF"/>
          <w:lang w:eastAsia="zh-CN"/>
        </w:rPr>
        <w:t>收入减少</w:t>
      </w:r>
      <w:r>
        <w:rPr>
          <w:rFonts w:hint="eastAsia" w:ascii="方正仿宋_GBK" w:hAnsi="方正仿宋_GBK" w:eastAsia="方正仿宋_GBK" w:cs="方正仿宋_GBK"/>
          <w:color w:val="auto"/>
          <w:sz w:val="32"/>
          <w:szCs w:val="32"/>
          <w:shd w:val="clear" w:color="auto" w:fill="FFFFFF"/>
        </w:rPr>
        <w:t>。</w:t>
      </w:r>
      <w:r>
        <w:rPr>
          <w:rFonts w:ascii="方正仿宋_GBK" w:hAnsi="方正仿宋_GBK" w:eastAsia="方正仿宋_GBK" w:cs="方正仿宋_GBK"/>
          <w:sz w:val="32"/>
          <w:szCs w:val="32"/>
          <w:shd w:val="clear" w:color="auto" w:fill="FFFFFF"/>
        </w:rPr>
        <w:t>其中：财政拨款收入</w:t>
      </w:r>
      <w:r>
        <w:rPr>
          <w:rFonts w:ascii="方正仿宋_GBK" w:hAnsi="方正仿宋_GBK" w:eastAsia="方正仿宋_GBK" w:cs="方正仿宋_GBK"/>
          <w:sz w:val="32"/>
          <w:szCs w:val="32"/>
        </w:rPr>
        <w:t>54.44</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100.00</w:t>
      </w:r>
      <w:r>
        <w:rPr>
          <w:rFonts w:ascii="方正仿宋_GBK" w:hAnsi="方正仿宋_GBK" w:eastAsia="方正仿宋_GBK" w:cs="方正仿宋_GBK"/>
          <w:sz w:val="32"/>
          <w:szCs w:val="32"/>
          <w:shd w:val="clear" w:color="auto" w:fill="FFFFFF"/>
        </w:rPr>
        <w:t>%；事业收入</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万元，占0.00%；经营收入</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万元，占0.00%；其他收入</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万元，占0.00%。此外，使用非财政拨款结余和专用结余</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万元，年初结转和结余</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w:t>
      </w:r>
    </w:p>
    <w:p>
      <w:pPr>
        <w:pStyle w:val="5"/>
        <w:snapToGrid w:val="0"/>
        <w:spacing w:before="0" w:beforeAutospacing="0" w:after="0" w:afterAutospacing="0" w:line="600" w:lineRule="exact"/>
        <w:ind w:firstLine="642" w:firstLineChars="200"/>
        <w:jc w:val="both"/>
        <w:rPr>
          <w:rFonts w:hint="default" w:ascii="方正仿宋_GBK" w:hAnsi="方正仿宋_GBK" w:eastAsia="方正仿宋_GBK" w:cs="方正仿宋_GBK"/>
          <w:sz w:val="32"/>
          <w:szCs w:val="32"/>
          <w:shd w:val="clear" w:color="auto" w:fill="FFFFFF"/>
        </w:rPr>
      </w:pPr>
      <w:r>
        <w:rPr>
          <w:rStyle w:val="9"/>
          <w:rFonts w:ascii="方正仿宋_GBK" w:hAnsi="方正仿宋_GBK" w:eastAsia="方正仿宋_GBK" w:cs="方正仿宋_GBK"/>
          <w:sz w:val="32"/>
          <w:szCs w:val="32"/>
          <w:shd w:val="clear" w:color="auto" w:fill="FFFFFF"/>
        </w:rPr>
        <w:t>3.支出情况。</w:t>
      </w:r>
      <w:r>
        <w:rPr>
          <w:rFonts w:hint="eastAsia" w:ascii="方正仿宋_GBK" w:hAnsi="方正仿宋_GBK" w:eastAsia="方正仿宋_GBK" w:cs="方正仿宋_GBK"/>
          <w:sz w:val="32"/>
          <w:szCs w:val="32"/>
          <w:shd w:val="clear" w:color="auto" w:fill="FFFFFF"/>
          <w:lang w:eastAsia="zh-CN"/>
        </w:rPr>
        <w:t>2024年</w:t>
      </w:r>
      <w:r>
        <w:rPr>
          <w:rFonts w:ascii="方正仿宋_GBK" w:hAnsi="方正仿宋_GBK" w:eastAsia="方正仿宋_GBK" w:cs="方正仿宋_GBK"/>
          <w:sz w:val="32"/>
          <w:szCs w:val="32"/>
          <w:shd w:val="clear" w:color="auto" w:fill="FFFFFF"/>
        </w:rPr>
        <w:t>度支出合计</w:t>
      </w:r>
      <w:r>
        <w:rPr>
          <w:rFonts w:ascii="方正仿宋_GBK" w:hAnsi="方正仿宋_GBK" w:eastAsia="方正仿宋_GBK" w:cs="方正仿宋_GBK"/>
          <w:sz w:val="32"/>
          <w:szCs w:val="32"/>
        </w:rPr>
        <w:t>54.44</w:t>
      </w:r>
      <w:r>
        <w:rPr>
          <w:rFonts w:ascii="方正仿宋_GBK" w:hAnsi="方正仿宋_GBK" w:eastAsia="方正仿宋_GBK" w:cs="方正仿宋_GBK"/>
          <w:sz w:val="32"/>
          <w:szCs w:val="32"/>
          <w:shd w:val="clear" w:color="auto" w:fill="FFFFFF"/>
        </w:rPr>
        <w:t>万元，与2023年度相比，减少0.38万元，下降0.7%，主要原因是</w:t>
      </w:r>
      <w:r>
        <w:rPr>
          <w:rFonts w:hint="eastAsia" w:ascii="方正仿宋_GBK" w:hAnsi="方正仿宋_GBK" w:eastAsia="方正仿宋_GBK" w:cs="方正仿宋_GBK"/>
          <w:color w:val="auto"/>
          <w:sz w:val="32"/>
          <w:szCs w:val="32"/>
          <w:shd w:val="clear" w:color="auto" w:fill="FFFFFF"/>
        </w:rPr>
        <w:t>本年度</w:t>
      </w:r>
      <w:r>
        <w:rPr>
          <w:rFonts w:hint="eastAsia" w:ascii="方正仿宋_GBK" w:hAnsi="方正仿宋_GBK" w:eastAsia="方正仿宋_GBK" w:cs="方正仿宋_GBK"/>
          <w:color w:val="auto"/>
          <w:sz w:val="32"/>
          <w:szCs w:val="32"/>
          <w:shd w:val="clear" w:color="auto" w:fill="FFFFFF"/>
          <w:lang w:eastAsia="zh-CN"/>
        </w:rPr>
        <w:t>人员调动</w:t>
      </w:r>
      <w:r>
        <w:rPr>
          <w:rFonts w:hint="eastAsia" w:ascii="方正仿宋_GBK" w:hAnsi="方正仿宋_GBK" w:eastAsia="方正仿宋_GBK" w:cs="方正仿宋_GBK"/>
          <w:color w:val="auto"/>
          <w:sz w:val="32"/>
          <w:szCs w:val="32"/>
          <w:shd w:val="clear" w:color="auto" w:fill="FFFFFF"/>
        </w:rPr>
        <w:t>、社保工资标准变化等导致人员类</w:t>
      </w:r>
      <w:r>
        <w:rPr>
          <w:rFonts w:hint="eastAsia" w:ascii="方正仿宋_GBK" w:hAnsi="方正仿宋_GBK" w:eastAsia="方正仿宋_GBK" w:cs="方正仿宋_GBK"/>
          <w:color w:val="auto"/>
          <w:sz w:val="32"/>
          <w:szCs w:val="32"/>
          <w:shd w:val="clear" w:color="auto" w:fill="FFFFFF"/>
          <w:lang w:eastAsia="zh-CN"/>
        </w:rPr>
        <w:t>支出减少</w:t>
      </w:r>
      <w:r>
        <w:rPr>
          <w:rFonts w:hint="eastAsia" w:ascii="方正仿宋_GBK" w:hAnsi="方正仿宋_GBK" w:eastAsia="方正仿宋_GBK" w:cs="方正仿宋_GBK"/>
          <w:color w:val="auto"/>
          <w:sz w:val="32"/>
          <w:szCs w:val="32"/>
          <w:shd w:val="clear" w:color="auto" w:fill="FFFFFF"/>
        </w:rPr>
        <w:t>。</w:t>
      </w:r>
      <w:r>
        <w:rPr>
          <w:rFonts w:ascii="方正仿宋_GBK" w:hAnsi="方正仿宋_GBK" w:eastAsia="方正仿宋_GBK" w:cs="方正仿宋_GBK"/>
          <w:sz w:val="32"/>
          <w:szCs w:val="32"/>
          <w:shd w:val="clear" w:color="auto" w:fill="FFFFFF"/>
        </w:rPr>
        <w:t>其中：基本支出</w:t>
      </w:r>
      <w:r>
        <w:rPr>
          <w:rFonts w:ascii="方正仿宋_GBK" w:hAnsi="方正仿宋_GBK" w:eastAsia="方正仿宋_GBK" w:cs="方正仿宋_GBK"/>
          <w:sz w:val="32"/>
          <w:szCs w:val="32"/>
        </w:rPr>
        <w:t>54.44</w:t>
      </w:r>
      <w:r>
        <w:rPr>
          <w:rFonts w:ascii="方正仿宋_GBK" w:hAnsi="方正仿宋_GBK" w:eastAsia="方正仿宋_GBK" w:cs="方正仿宋_GBK"/>
          <w:sz w:val="32"/>
          <w:szCs w:val="32"/>
          <w:shd w:val="clear" w:color="auto" w:fill="FFFFFF"/>
        </w:rPr>
        <w:t>万元，占100.00%；项目支出</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万元，占0.00%；经营支出</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万元，占0.00%。此外，结余分配</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w:t>
      </w:r>
    </w:p>
    <w:p>
      <w:pPr>
        <w:pStyle w:val="5"/>
        <w:snapToGrid w:val="0"/>
        <w:spacing w:before="0" w:beforeAutospacing="0" w:after="0" w:afterAutospacing="0" w:line="600" w:lineRule="exact"/>
        <w:ind w:firstLine="642" w:firstLineChars="200"/>
        <w:jc w:val="both"/>
        <w:rPr>
          <w:rFonts w:hint="eastAsia" w:ascii="方正仿宋_GBK" w:hAnsi="方正仿宋_GBK" w:eastAsia="方正仿宋_GBK" w:cs="方正仿宋_GBK"/>
          <w:sz w:val="32"/>
          <w:szCs w:val="32"/>
          <w:lang w:eastAsia="zh-CN"/>
        </w:rPr>
      </w:pPr>
      <w:r>
        <w:rPr>
          <w:rStyle w:val="9"/>
          <w:rFonts w:ascii="方正仿宋_GBK" w:hAnsi="方正仿宋_GBK" w:eastAsia="方正仿宋_GBK" w:cs="方正仿宋_GBK"/>
          <w:sz w:val="32"/>
          <w:szCs w:val="32"/>
          <w:shd w:val="clear" w:color="auto" w:fill="FFFFFF"/>
        </w:rPr>
        <w:t>4.结转结余情况。</w:t>
      </w:r>
      <w:r>
        <w:rPr>
          <w:rFonts w:hint="eastAsia" w:ascii="方正仿宋_GBK" w:hAnsi="方正仿宋_GBK" w:eastAsia="方正仿宋_GBK" w:cs="方正仿宋_GBK"/>
          <w:sz w:val="32"/>
          <w:szCs w:val="32"/>
          <w:shd w:val="clear" w:color="auto" w:fill="FFFFFF"/>
          <w:lang w:eastAsia="zh-CN"/>
        </w:rPr>
        <w:t>2024年</w:t>
      </w:r>
      <w:r>
        <w:rPr>
          <w:rFonts w:ascii="方正仿宋_GBK" w:hAnsi="方正仿宋_GBK" w:eastAsia="方正仿宋_GBK" w:cs="方正仿宋_GBK"/>
          <w:sz w:val="32"/>
          <w:szCs w:val="32"/>
          <w:shd w:val="clear" w:color="auto" w:fill="FFFFFF"/>
        </w:rPr>
        <w:t>度年末结转和结余</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万元，与2023年度相比，无增减</w:t>
      </w:r>
      <w:r>
        <w:rPr>
          <w:rFonts w:hint="eastAsia" w:ascii="方正仿宋_GBK" w:hAnsi="方正仿宋_GBK" w:eastAsia="方正仿宋_GBK" w:cs="方正仿宋_GBK"/>
          <w:sz w:val="32"/>
          <w:szCs w:val="32"/>
          <w:shd w:val="clear" w:color="auto" w:fill="FFFFFF"/>
          <w:lang w:eastAsia="zh-CN"/>
        </w:rPr>
        <w:t>。</w:t>
      </w:r>
    </w:p>
    <w:p>
      <w:pPr>
        <w:pStyle w:val="10"/>
        <w:autoSpaceDE w:val="0"/>
        <w:ind w:firstLine="640"/>
        <w:rPr>
          <w:rFonts w:hint="eastAsia" w:ascii="楷体" w:hAnsi="楷体" w:eastAsia="楷体" w:cs="楷体"/>
          <w:b/>
          <w:bCs/>
          <w:sz w:val="32"/>
          <w:szCs w:val="32"/>
          <w:shd w:val="clear" w:color="auto" w:fill="FFFFFF"/>
          <w:lang w:bidi="ar"/>
        </w:rPr>
      </w:pPr>
      <w:r>
        <w:rPr>
          <w:rFonts w:hint="eastAsia" w:ascii="楷体" w:hAnsi="楷体" w:eastAsia="楷体" w:cs="楷体"/>
          <w:b/>
          <w:bCs/>
          <w:sz w:val="32"/>
          <w:szCs w:val="32"/>
          <w:shd w:val="clear" w:color="auto" w:fill="FFFFFF"/>
          <w:lang w:bidi="ar"/>
        </w:rPr>
        <w:t>（二）财政拨款收入支出决算总体情况说明</w:t>
      </w:r>
    </w:p>
    <w:p>
      <w:pPr>
        <w:pStyle w:val="5"/>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rPr>
      </w:pPr>
      <w:r>
        <w:rPr>
          <w:rFonts w:hint="eastAsia" w:ascii="方正仿宋_GBK" w:hAnsi="方正仿宋_GBK" w:eastAsia="方正仿宋_GBK" w:cs="方正仿宋_GBK"/>
          <w:sz w:val="32"/>
          <w:szCs w:val="32"/>
          <w:shd w:val="clear" w:color="auto" w:fill="FFFFFF"/>
          <w:lang w:eastAsia="zh-CN"/>
        </w:rPr>
        <w:t>2024年</w:t>
      </w:r>
      <w:r>
        <w:rPr>
          <w:rFonts w:ascii="方正仿宋_GBK" w:hAnsi="方正仿宋_GBK" w:eastAsia="方正仿宋_GBK" w:cs="方正仿宋_GBK"/>
          <w:sz w:val="32"/>
          <w:szCs w:val="32"/>
          <w:shd w:val="clear" w:color="auto" w:fill="FFFFFF"/>
        </w:rPr>
        <w:t>度财政拨款收、支总计</w:t>
      </w:r>
      <w:r>
        <w:rPr>
          <w:rFonts w:hint="eastAsia" w:ascii="方正仿宋_GBK" w:hAnsi="方正仿宋_GBK" w:eastAsia="方正仿宋_GBK" w:cs="方正仿宋_GBK"/>
          <w:sz w:val="32"/>
          <w:szCs w:val="32"/>
          <w:shd w:val="clear" w:color="auto" w:fill="FFFFFF"/>
        </w:rPr>
        <w:t>54.44</w:t>
      </w:r>
      <w:r>
        <w:rPr>
          <w:rFonts w:ascii="方正仿宋_GBK" w:hAnsi="方正仿宋_GBK" w:eastAsia="方正仿宋_GBK" w:cs="方正仿宋_GBK"/>
          <w:sz w:val="32"/>
          <w:szCs w:val="32"/>
          <w:shd w:val="clear" w:color="auto" w:fill="FFFFFF"/>
        </w:rPr>
        <w:t>万元。与</w:t>
      </w:r>
      <w:r>
        <w:rPr>
          <w:rFonts w:hint="eastAsia" w:ascii="方正仿宋_GBK" w:hAnsi="方正仿宋_GBK" w:eastAsia="方正仿宋_GBK" w:cs="方正仿宋_GBK"/>
          <w:sz w:val="32"/>
          <w:szCs w:val="32"/>
          <w:shd w:val="clear" w:color="auto" w:fill="FFFFFF"/>
          <w:lang w:eastAsia="zh-CN"/>
        </w:rPr>
        <w:t>2023年</w:t>
      </w:r>
      <w:r>
        <w:rPr>
          <w:rFonts w:ascii="方正仿宋_GBK" w:hAnsi="方正仿宋_GBK" w:eastAsia="方正仿宋_GBK" w:cs="方正仿宋_GBK"/>
          <w:sz w:val="32"/>
          <w:szCs w:val="32"/>
          <w:shd w:val="clear" w:color="auto" w:fill="FFFFFF"/>
        </w:rPr>
        <w:t>相比，财政拨款收、支总计各减少0.38万元，下降0.7%。主要原因是</w:t>
      </w:r>
      <w:r>
        <w:rPr>
          <w:rFonts w:hint="eastAsia" w:ascii="方正仿宋_GBK" w:hAnsi="方正仿宋_GBK" w:eastAsia="方正仿宋_GBK" w:cs="方正仿宋_GBK"/>
          <w:color w:val="auto"/>
          <w:sz w:val="32"/>
          <w:szCs w:val="32"/>
          <w:shd w:val="clear" w:color="auto" w:fill="FFFFFF"/>
        </w:rPr>
        <w:t>本年度</w:t>
      </w:r>
      <w:r>
        <w:rPr>
          <w:rFonts w:hint="eastAsia" w:ascii="方正仿宋_GBK" w:hAnsi="方正仿宋_GBK" w:eastAsia="方正仿宋_GBK" w:cs="方正仿宋_GBK"/>
          <w:color w:val="auto"/>
          <w:sz w:val="32"/>
          <w:szCs w:val="32"/>
          <w:shd w:val="clear" w:color="auto" w:fill="FFFFFF"/>
          <w:lang w:eastAsia="zh-CN"/>
        </w:rPr>
        <w:t>人员调动</w:t>
      </w:r>
      <w:r>
        <w:rPr>
          <w:rFonts w:hint="eastAsia" w:ascii="方正仿宋_GBK" w:hAnsi="方正仿宋_GBK" w:eastAsia="方正仿宋_GBK" w:cs="方正仿宋_GBK"/>
          <w:color w:val="auto"/>
          <w:sz w:val="32"/>
          <w:szCs w:val="32"/>
          <w:shd w:val="clear" w:color="auto" w:fill="FFFFFF"/>
        </w:rPr>
        <w:t>、社保工资标准变化等导致人员类</w:t>
      </w:r>
      <w:r>
        <w:rPr>
          <w:rFonts w:hint="eastAsia" w:ascii="方正仿宋_GBK" w:hAnsi="方正仿宋_GBK" w:eastAsia="方正仿宋_GBK" w:cs="方正仿宋_GBK"/>
          <w:color w:val="auto"/>
          <w:sz w:val="32"/>
          <w:szCs w:val="32"/>
          <w:shd w:val="clear" w:color="auto" w:fill="FFFFFF"/>
          <w:lang w:eastAsia="zh-CN"/>
        </w:rPr>
        <w:t>收支减少</w:t>
      </w:r>
      <w:r>
        <w:rPr>
          <w:rFonts w:hint="eastAsia" w:ascii="方正仿宋_GBK" w:hAnsi="方正仿宋_GBK" w:eastAsia="方正仿宋_GBK" w:cs="方正仿宋_GBK"/>
          <w:color w:val="auto"/>
          <w:sz w:val="32"/>
          <w:szCs w:val="32"/>
          <w:shd w:val="clear" w:color="auto" w:fill="FFFFFF"/>
        </w:rPr>
        <w:t>。</w:t>
      </w:r>
    </w:p>
    <w:p>
      <w:pPr>
        <w:pStyle w:val="10"/>
        <w:autoSpaceDE w:val="0"/>
        <w:ind w:firstLine="640"/>
        <w:rPr>
          <w:rFonts w:hint="eastAsia" w:ascii="楷体" w:hAnsi="楷体" w:eastAsia="楷体" w:cs="楷体"/>
          <w:b/>
          <w:bCs/>
          <w:sz w:val="32"/>
          <w:szCs w:val="32"/>
          <w:shd w:val="clear" w:color="auto" w:fill="FFFFFF"/>
          <w:lang w:bidi="ar"/>
        </w:rPr>
      </w:pPr>
      <w:r>
        <w:rPr>
          <w:rFonts w:hint="eastAsia" w:ascii="楷体" w:hAnsi="楷体" w:eastAsia="楷体" w:cs="楷体"/>
          <w:b/>
          <w:bCs/>
          <w:sz w:val="32"/>
          <w:szCs w:val="32"/>
          <w:shd w:val="clear" w:color="auto" w:fill="FFFFFF"/>
          <w:lang w:bidi="ar"/>
        </w:rPr>
        <w:t>（三）一般公共预算财政拨款收入支出决算情况说明</w:t>
      </w:r>
    </w:p>
    <w:p>
      <w:pPr>
        <w:pStyle w:val="5"/>
        <w:snapToGrid w:val="0"/>
        <w:spacing w:before="0" w:beforeAutospacing="0" w:after="0" w:afterAutospacing="0" w:line="600" w:lineRule="exact"/>
        <w:ind w:firstLine="642" w:firstLineChars="200"/>
        <w:jc w:val="both"/>
        <w:rPr>
          <w:rFonts w:hint="default" w:ascii="方正仿宋_GBK" w:hAnsi="方正仿宋_GBK" w:eastAsia="方正仿宋_GBK" w:cs="方正仿宋_GBK"/>
          <w:sz w:val="32"/>
          <w:szCs w:val="32"/>
        </w:rPr>
      </w:pPr>
      <w:r>
        <w:rPr>
          <w:rStyle w:val="9"/>
          <w:rFonts w:ascii="方正仿宋_GBK" w:hAnsi="方正仿宋_GBK" w:eastAsia="方正仿宋_GBK" w:cs="方正仿宋_GBK"/>
          <w:sz w:val="32"/>
          <w:szCs w:val="32"/>
          <w:shd w:val="clear" w:color="auto" w:fill="FFFFFF"/>
        </w:rPr>
        <w:t>1.收入情况。</w:t>
      </w:r>
      <w:r>
        <w:rPr>
          <w:rFonts w:hint="eastAsia" w:ascii="方正仿宋_GBK" w:hAnsi="方正仿宋_GBK" w:eastAsia="方正仿宋_GBK" w:cs="方正仿宋_GBK"/>
          <w:sz w:val="32"/>
          <w:szCs w:val="32"/>
          <w:shd w:val="clear" w:color="auto" w:fill="FFFFFF"/>
          <w:lang w:eastAsia="zh-CN"/>
        </w:rPr>
        <w:t>2024年</w:t>
      </w:r>
      <w:r>
        <w:rPr>
          <w:rFonts w:ascii="方正仿宋_GBK" w:hAnsi="方正仿宋_GBK" w:eastAsia="方正仿宋_GBK" w:cs="方正仿宋_GBK"/>
          <w:sz w:val="32"/>
          <w:szCs w:val="32"/>
          <w:shd w:val="clear" w:color="auto" w:fill="FFFFFF"/>
        </w:rPr>
        <w:t>度一般公共预算财政拨款收入</w:t>
      </w:r>
      <w:r>
        <w:rPr>
          <w:rFonts w:ascii="方正仿宋_GBK" w:hAnsi="方正仿宋_GBK" w:eastAsia="方正仿宋_GBK" w:cs="方正仿宋_GBK"/>
          <w:sz w:val="32"/>
          <w:szCs w:val="32"/>
        </w:rPr>
        <w:t>54.44</w:t>
      </w:r>
      <w:r>
        <w:rPr>
          <w:rFonts w:ascii="方正仿宋_GBK" w:hAnsi="方正仿宋_GBK" w:eastAsia="方正仿宋_GBK" w:cs="方正仿宋_GBK"/>
          <w:sz w:val="32"/>
          <w:szCs w:val="32"/>
          <w:shd w:val="clear" w:color="auto" w:fill="FFFFFF"/>
        </w:rPr>
        <w:t>万元，与2023年度相比，减少0.38万元，下降0.7%。主要原因是</w:t>
      </w:r>
      <w:r>
        <w:rPr>
          <w:rFonts w:hint="eastAsia" w:ascii="方正仿宋_GBK" w:hAnsi="方正仿宋_GBK" w:eastAsia="方正仿宋_GBK" w:cs="方正仿宋_GBK"/>
          <w:color w:val="auto"/>
          <w:sz w:val="32"/>
          <w:szCs w:val="32"/>
          <w:shd w:val="clear" w:color="auto" w:fill="FFFFFF"/>
        </w:rPr>
        <w:t>本年度</w:t>
      </w:r>
      <w:r>
        <w:rPr>
          <w:rFonts w:hint="eastAsia" w:ascii="方正仿宋_GBK" w:hAnsi="方正仿宋_GBK" w:eastAsia="方正仿宋_GBK" w:cs="方正仿宋_GBK"/>
          <w:color w:val="auto"/>
          <w:sz w:val="32"/>
          <w:szCs w:val="32"/>
          <w:shd w:val="clear" w:color="auto" w:fill="FFFFFF"/>
          <w:lang w:eastAsia="zh-CN"/>
        </w:rPr>
        <w:t>人员调动</w:t>
      </w:r>
      <w:r>
        <w:rPr>
          <w:rFonts w:hint="eastAsia" w:ascii="方正仿宋_GBK" w:hAnsi="方正仿宋_GBK" w:eastAsia="方正仿宋_GBK" w:cs="方正仿宋_GBK"/>
          <w:color w:val="auto"/>
          <w:sz w:val="32"/>
          <w:szCs w:val="32"/>
          <w:shd w:val="clear" w:color="auto" w:fill="FFFFFF"/>
        </w:rPr>
        <w:t>、社保工资标准变化等导致人员类</w:t>
      </w:r>
      <w:r>
        <w:rPr>
          <w:rFonts w:hint="eastAsia" w:ascii="方正仿宋_GBK" w:hAnsi="方正仿宋_GBK" w:eastAsia="方正仿宋_GBK" w:cs="方正仿宋_GBK"/>
          <w:color w:val="auto"/>
          <w:sz w:val="32"/>
          <w:szCs w:val="32"/>
          <w:shd w:val="clear" w:color="auto" w:fill="FFFFFF"/>
          <w:lang w:eastAsia="zh-CN"/>
        </w:rPr>
        <w:t>收入减少</w:t>
      </w:r>
      <w:r>
        <w:rPr>
          <w:rFonts w:hint="eastAsia" w:ascii="方正仿宋_GBK" w:hAnsi="方正仿宋_GBK" w:eastAsia="方正仿宋_GBK" w:cs="方正仿宋_GBK"/>
          <w:color w:val="auto"/>
          <w:sz w:val="32"/>
          <w:szCs w:val="32"/>
          <w:shd w:val="clear" w:color="auto" w:fill="FFFFFF"/>
        </w:rPr>
        <w:t>。</w:t>
      </w:r>
      <w:r>
        <w:rPr>
          <w:rFonts w:ascii="方正仿宋_GBK" w:hAnsi="方正仿宋_GBK" w:eastAsia="方正仿宋_GBK" w:cs="方正仿宋_GBK"/>
          <w:sz w:val="32"/>
          <w:szCs w:val="32"/>
          <w:shd w:val="clear" w:color="auto" w:fill="FFFFFF"/>
        </w:rPr>
        <w:t>较年初预算数减少0.59万元，下降1.1%。主要原因</w:t>
      </w:r>
      <w:r>
        <w:rPr>
          <w:rFonts w:ascii="方正仿宋_GBK" w:hAnsi="方正仿宋_GBK" w:eastAsia="方正仿宋_GBK" w:cs="方正仿宋_GBK"/>
          <w:color w:val="auto"/>
          <w:sz w:val="32"/>
          <w:szCs w:val="32"/>
          <w:shd w:val="clear" w:color="auto" w:fill="FFFFFF"/>
        </w:rPr>
        <w:t>是</w:t>
      </w:r>
      <w:r>
        <w:rPr>
          <w:rFonts w:hint="eastAsia" w:ascii="方正仿宋_GBK" w:hAnsi="方正仿宋_GBK" w:eastAsia="方正仿宋_GBK" w:cs="方正仿宋_GBK"/>
          <w:color w:val="auto"/>
          <w:sz w:val="32"/>
          <w:szCs w:val="32"/>
          <w:shd w:val="clear" w:color="auto" w:fill="FFFFFF"/>
          <w:lang w:eastAsia="zh-CN"/>
        </w:rPr>
        <w:t>人员调动。</w:t>
      </w:r>
      <w:r>
        <w:rPr>
          <w:rFonts w:ascii="方正仿宋_GBK" w:hAnsi="方正仿宋_GBK" w:eastAsia="方正仿宋_GBK" w:cs="方正仿宋_GBK"/>
          <w:sz w:val="32"/>
          <w:szCs w:val="32"/>
          <w:shd w:val="clear" w:color="auto" w:fill="FFFFFF"/>
        </w:rPr>
        <w:t>此外，年初财政拨款结转和结余</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w:t>
      </w:r>
    </w:p>
    <w:p>
      <w:pPr>
        <w:pStyle w:val="5"/>
        <w:snapToGrid w:val="0"/>
        <w:spacing w:before="0" w:beforeAutospacing="0" w:after="0" w:afterAutospacing="0" w:line="600" w:lineRule="exact"/>
        <w:ind w:firstLine="642" w:firstLineChars="200"/>
        <w:jc w:val="both"/>
        <w:rPr>
          <w:rFonts w:hint="eastAsia" w:ascii="方正仿宋_GBK" w:hAnsi="方正仿宋_GBK" w:eastAsia="方正仿宋_GBK" w:cs="方正仿宋_GBK"/>
          <w:sz w:val="32"/>
          <w:szCs w:val="32"/>
          <w:lang w:eastAsia="zh-CN"/>
        </w:rPr>
      </w:pPr>
      <w:r>
        <w:rPr>
          <w:rStyle w:val="9"/>
          <w:rFonts w:ascii="方正仿宋_GBK" w:hAnsi="方正仿宋_GBK" w:eastAsia="方正仿宋_GBK" w:cs="方正仿宋_GBK"/>
          <w:sz w:val="32"/>
          <w:szCs w:val="32"/>
          <w:shd w:val="clear" w:color="auto" w:fill="FFFFFF"/>
        </w:rPr>
        <w:t>2.支出情况。</w:t>
      </w:r>
      <w:r>
        <w:rPr>
          <w:rFonts w:hint="eastAsia" w:ascii="方正仿宋_GBK" w:hAnsi="方正仿宋_GBK" w:eastAsia="方正仿宋_GBK" w:cs="方正仿宋_GBK"/>
          <w:sz w:val="32"/>
          <w:szCs w:val="32"/>
          <w:shd w:val="clear" w:color="auto" w:fill="FFFFFF"/>
          <w:lang w:eastAsia="zh-CN"/>
        </w:rPr>
        <w:t>2024年</w:t>
      </w:r>
      <w:r>
        <w:rPr>
          <w:rFonts w:ascii="方正仿宋_GBK" w:hAnsi="方正仿宋_GBK" w:eastAsia="方正仿宋_GBK" w:cs="方正仿宋_GBK"/>
          <w:sz w:val="32"/>
          <w:szCs w:val="32"/>
          <w:shd w:val="clear" w:color="auto" w:fill="FFFFFF"/>
        </w:rPr>
        <w:t>度一般公共预算财政拨款支出</w:t>
      </w:r>
      <w:r>
        <w:rPr>
          <w:rFonts w:ascii="方正仿宋_GBK" w:hAnsi="方正仿宋_GBK" w:eastAsia="方正仿宋_GBK" w:cs="方正仿宋_GBK"/>
          <w:sz w:val="32"/>
          <w:szCs w:val="32"/>
        </w:rPr>
        <w:t>54.44</w:t>
      </w:r>
      <w:r>
        <w:rPr>
          <w:rFonts w:ascii="方正仿宋_GBK" w:hAnsi="方正仿宋_GBK" w:eastAsia="方正仿宋_GBK" w:cs="方正仿宋_GBK"/>
          <w:sz w:val="32"/>
          <w:szCs w:val="32"/>
          <w:shd w:val="clear" w:color="auto" w:fill="FFFFFF"/>
        </w:rPr>
        <w:t>万元，与2023年度相比，减少0.38万元，下降0.7%。主要原因是</w:t>
      </w:r>
      <w:r>
        <w:rPr>
          <w:rFonts w:hint="eastAsia" w:ascii="方正仿宋_GBK" w:hAnsi="方正仿宋_GBK" w:eastAsia="方正仿宋_GBK" w:cs="方正仿宋_GBK"/>
          <w:color w:val="auto"/>
          <w:sz w:val="32"/>
          <w:szCs w:val="32"/>
          <w:shd w:val="clear" w:color="auto" w:fill="FFFFFF"/>
        </w:rPr>
        <w:t>本年度</w:t>
      </w:r>
      <w:r>
        <w:rPr>
          <w:rFonts w:hint="eastAsia" w:ascii="方正仿宋_GBK" w:hAnsi="方正仿宋_GBK" w:eastAsia="方正仿宋_GBK" w:cs="方正仿宋_GBK"/>
          <w:color w:val="auto"/>
          <w:sz w:val="32"/>
          <w:szCs w:val="32"/>
          <w:shd w:val="clear" w:color="auto" w:fill="FFFFFF"/>
          <w:lang w:eastAsia="zh-CN"/>
        </w:rPr>
        <w:t>人员调动</w:t>
      </w:r>
      <w:r>
        <w:rPr>
          <w:rFonts w:hint="eastAsia" w:ascii="方正仿宋_GBK" w:hAnsi="方正仿宋_GBK" w:eastAsia="方正仿宋_GBK" w:cs="方正仿宋_GBK"/>
          <w:color w:val="auto"/>
          <w:sz w:val="32"/>
          <w:szCs w:val="32"/>
          <w:shd w:val="clear" w:color="auto" w:fill="FFFFFF"/>
        </w:rPr>
        <w:t>、社保工资标准变化等导致人员类</w:t>
      </w:r>
      <w:r>
        <w:rPr>
          <w:rFonts w:hint="eastAsia" w:ascii="方正仿宋_GBK" w:hAnsi="方正仿宋_GBK" w:eastAsia="方正仿宋_GBK" w:cs="方正仿宋_GBK"/>
          <w:color w:val="auto"/>
          <w:sz w:val="32"/>
          <w:szCs w:val="32"/>
          <w:shd w:val="clear" w:color="auto" w:fill="FFFFFF"/>
          <w:lang w:eastAsia="zh-CN"/>
        </w:rPr>
        <w:t>收支减少</w:t>
      </w:r>
      <w:r>
        <w:rPr>
          <w:rFonts w:hint="eastAsia" w:ascii="方正仿宋_GBK" w:hAnsi="方正仿宋_GBK" w:eastAsia="方正仿宋_GBK" w:cs="方正仿宋_GBK"/>
          <w:color w:val="auto"/>
          <w:sz w:val="32"/>
          <w:szCs w:val="32"/>
          <w:shd w:val="clear" w:color="auto" w:fill="FFFFFF"/>
        </w:rPr>
        <w:t>。</w:t>
      </w:r>
      <w:r>
        <w:rPr>
          <w:rFonts w:ascii="方正仿宋_GBK" w:hAnsi="方正仿宋_GBK" w:eastAsia="方正仿宋_GBK" w:cs="方正仿宋_GBK"/>
          <w:sz w:val="32"/>
          <w:szCs w:val="32"/>
          <w:shd w:val="clear" w:color="auto" w:fill="FFFFFF"/>
        </w:rPr>
        <w:t>较年初预算数减少0.59万元，下降1.1%。主要原</w:t>
      </w:r>
      <w:r>
        <w:rPr>
          <w:rFonts w:ascii="方正仿宋_GBK" w:hAnsi="方正仿宋_GBK" w:eastAsia="方正仿宋_GBK" w:cs="方正仿宋_GBK"/>
          <w:color w:val="auto"/>
          <w:sz w:val="32"/>
          <w:szCs w:val="32"/>
          <w:shd w:val="clear" w:color="auto" w:fill="FFFFFF"/>
        </w:rPr>
        <w:t>因是</w:t>
      </w:r>
      <w:r>
        <w:rPr>
          <w:rFonts w:hint="eastAsia" w:ascii="方正仿宋_GBK" w:hAnsi="方正仿宋_GBK" w:eastAsia="方正仿宋_GBK" w:cs="方正仿宋_GBK"/>
          <w:color w:val="auto"/>
          <w:sz w:val="32"/>
          <w:szCs w:val="32"/>
          <w:shd w:val="clear" w:color="auto" w:fill="FFFFFF"/>
          <w:lang w:eastAsia="zh-CN"/>
        </w:rPr>
        <w:t>人员调动。</w:t>
      </w:r>
    </w:p>
    <w:p>
      <w:pPr>
        <w:pStyle w:val="5"/>
        <w:snapToGrid w:val="0"/>
        <w:spacing w:before="0" w:beforeAutospacing="0" w:after="0" w:afterAutospacing="0" w:line="600" w:lineRule="exact"/>
        <w:ind w:firstLine="642" w:firstLineChars="200"/>
        <w:jc w:val="both"/>
        <w:rPr>
          <w:rFonts w:hint="eastAsia" w:ascii="方正仿宋_GBK" w:hAnsi="方正仿宋_GBK" w:eastAsia="方正仿宋_GBK" w:cs="方正仿宋_GBK"/>
          <w:sz w:val="32"/>
          <w:szCs w:val="32"/>
          <w:lang w:eastAsia="zh-CN"/>
        </w:rPr>
      </w:pPr>
      <w:r>
        <w:rPr>
          <w:rStyle w:val="9"/>
          <w:rFonts w:ascii="方正仿宋_GBK" w:hAnsi="方正仿宋_GBK" w:eastAsia="方正仿宋_GBK" w:cs="方正仿宋_GBK"/>
          <w:sz w:val="32"/>
          <w:szCs w:val="32"/>
          <w:shd w:val="clear" w:color="auto" w:fill="FFFFFF"/>
        </w:rPr>
        <w:t>3.结转结余情况。</w:t>
      </w:r>
      <w:r>
        <w:rPr>
          <w:rFonts w:hint="eastAsia" w:ascii="方正仿宋_GBK" w:hAnsi="方正仿宋_GBK" w:eastAsia="方正仿宋_GBK" w:cs="方正仿宋_GBK"/>
          <w:sz w:val="32"/>
          <w:szCs w:val="32"/>
          <w:shd w:val="clear" w:color="auto" w:fill="FFFFFF"/>
          <w:lang w:eastAsia="zh-CN"/>
        </w:rPr>
        <w:t>2024年</w:t>
      </w:r>
      <w:r>
        <w:rPr>
          <w:rFonts w:ascii="方正仿宋_GBK" w:hAnsi="方正仿宋_GBK" w:eastAsia="方正仿宋_GBK" w:cs="方正仿宋_GBK"/>
          <w:sz w:val="32"/>
          <w:szCs w:val="32"/>
          <w:shd w:val="clear" w:color="auto" w:fill="FFFFFF"/>
        </w:rPr>
        <w:t>度年末一般公共预算财政拨款结转和结余</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万元，与2023年度相比，无增减</w:t>
      </w:r>
      <w:r>
        <w:rPr>
          <w:rFonts w:hint="eastAsia" w:ascii="方正仿宋_GBK" w:hAnsi="方正仿宋_GBK" w:eastAsia="方正仿宋_GBK" w:cs="方正仿宋_GBK"/>
          <w:sz w:val="32"/>
          <w:szCs w:val="32"/>
          <w:shd w:val="clear" w:color="auto" w:fill="FFFFFF"/>
          <w:lang w:eastAsia="zh-CN"/>
        </w:rPr>
        <w:t>。</w:t>
      </w:r>
    </w:p>
    <w:p>
      <w:pPr>
        <w:pStyle w:val="5"/>
        <w:snapToGrid w:val="0"/>
        <w:spacing w:before="0" w:beforeAutospacing="0" w:after="0" w:afterAutospacing="0" w:line="600" w:lineRule="exact"/>
        <w:ind w:firstLine="642" w:firstLineChars="200"/>
        <w:jc w:val="both"/>
        <w:rPr>
          <w:rFonts w:hint="default" w:ascii="方正仿宋_GBK" w:hAnsi="方正仿宋_GBK" w:eastAsia="方正仿宋_GBK" w:cs="方正仿宋_GBK"/>
          <w:color w:val="FF0000"/>
          <w:sz w:val="32"/>
          <w:szCs w:val="32"/>
          <w:highlight w:val="cyan"/>
          <w:shd w:val="clear" w:color="auto" w:fill="FFFFFF"/>
        </w:rPr>
      </w:pPr>
      <w:r>
        <w:rPr>
          <w:rStyle w:val="9"/>
          <w:rFonts w:ascii="方正仿宋_GBK" w:hAnsi="方正仿宋_GBK" w:eastAsia="方正仿宋_GBK" w:cs="方正仿宋_GBK"/>
          <w:sz w:val="32"/>
          <w:szCs w:val="32"/>
          <w:shd w:val="clear" w:color="auto" w:fill="FFFFFF"/>
        </w:rPr>
        <w:t xml:space="preserve"> 4.比较情况。</w:t>
      </w:r>
      <w:r>
        <w:rPr>
          <w:rFonts w:ascii="方正仿宋_GBK" w:hAnsi="方正仿宋_GBK" w:eastAsia="方正仿宋_GBK" w:cs="方正仿宋_GBK"/>
          <w:sz w:val="32"/>
          <w:szCs w:val="32"/>
          <w:shd w:val="clear" w:color="auto" w:fill="FFFFFF"/>
        </w:rPr>
        <w:t>本部门</w:t>
      </w:r>
      <w:r>
        <w:rPr>
          <w:rFonts w:hint="eastAsia" w:ascii="方正仿宋_GBK" w:hAnsi="方正仿宋_GBK" w:eastAsia="方正仿宋_GBK" w:cs="方正仿宋_GBK"/>
          <w:sz w:val="32"/>
          <w:szCs w:val="32"/>
          <w:shd w:val="clear" w:color="auto" w:fill="FFFFFF"/>
          <w:lang w:eastAsia="zh-CN"/>
        </w:rPr>
        <w:t>2024年</w:t>
      </w:r>
      <w:r>
        <w:rPr>
          <w:rFonts w:ascii="方正仿宋_GBK" w:hAnsi="方正仿宋_GBK" w:eastAsia="方正仿宋_GBK" w:cs="方正仿宋_GBK"/>
          <w:sz w:val="32"/>
          <w:szCs w:val="32"/>
          <w:shd w:val="clear" w:color="auto" w:fill="FFFFFF"/>
        </w:rPr>
        <w:t>度一般公共预算财政拨款支出主要用于以下几个方面：</w:t>
      </w:r>
    </w:p>
    <w:p>
      <w:pPr>
        <w:pStyle w:val="5"/>
        <w:snapToGrid w:val="0"/>
        <w:spacing w:before="0" w:beforeAutospacing="0" w:after="0" w:afterAutospacing="0" w:line="600" w:lineRule="exact"/>
        <w:ind w:firstLine="640" w:firstLineChars="200"/>
        <w:jc w:val="both"/>
        <w:rPr>
          <w:rFonts w:hint="eastAsia" w:ascii="方正仿宋_GBK" w:hAnsi="方正仿宋_GBK" w:eastAsia="方正仿宋_GBK" w:cs="方正仿宋_GBK"/>
          <w:color w:val="FF0000"/>
          <w:sz w:val="32"/>
          <w:szCs w:val="32"/>
          <w:shd w:val="clear" w:color="auto" w:fill="FFFFFF"/>
          <w:lang w:eastAsia="zh-CN"/>
        </w:rPr>
      </w:pPr>
      <w:r>
        <w:rPr>
          <w:rFonts w:ascii="方正仿宋_GBK" w:hAnsi="方正仿宋_GBK" w:eastAsia="方正仿宋_GBK" w:cs="方正仿宋_GBK"/>
          <w:sz w:val="32"/>
          <w:szCs w:val="32"/>
          <w:shd w:val="clear" w:color="auto" w:fill="FFFFFF"/>
        </w:rPr>
        <w:t>（1）社会保障与就业支出</w:t>
      </w:r>
      <w:r>
        <w:rPr>
          <w:rFonts w:ascii="方正仿宋_GBK" w:hAnsi="方正仿宋_GBK" w:eastAsia="方正仿宋_GBK" w:cs="方正仿宋_GBK"/>
          <w:sz w:val="32"/>
          <w:szCs w:val="32"/>
        </w:rPr>
        <w:t>48.65</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89.38</w:t>
      </w:r>
      <w:r>
        <w:rPr>
          <w:rFonts w:ascii="方正仿宋_GBK" w:hAnsi="方正仿宋_GBK" w:eastAsia="方正仿宋_GBK" w:cs="方正仿宋_GBK"/>
          <w:sz w:val="32"/>
          <w:szCs w:val="32"/>
          <w:shd w:val="clear" w:color="auto" w:fill="FFFFFF"/>
        </w:rPr>
        <w:t>%，较</w:t>
      </w:r>
      <w:r>
        <w:rPr>
          <w:rFonts w:ascii="方正仿宋_GBK" w:hAnsi="方正仿宋_GBK" w:eastAsia="方正仿宋_GBK" w:cs="方正仿宋_GBK"/>
          <w:color w:val="auto"/>
          <w:sz w:val="32"/>
          <w:szCs w:val="32"/>
          <w:shd w:val="clear" w:color="auto" w:fill="FFFFFF"/>
        </w:rPr>
        <w:t>年初预算数减少0.48万元，下降1.0%，主要原因是</w:t>
      </w:r>
      <w:r>
        <w:rPr>
          <w:rFonts w:hint="eastAsia" w:ascii="方正仿宋_GBK" w:hAnsi="方正仿宋_GBK" w:eastAsia="方正仿宋_GBK" w:cs="方正仿宋_GBK"/>
          <w:color w:val="auto"/>
          <w:sz w:val="32"/>
          <w:szCs w:val="32"/>
          <w:shd w:val="clear" w:color="auto" w:fill="FFFFFF"/>
          <w:lang w:eastAsia="zh-CN"/>
        </w:rPr>
        <w:t>人员调动。</w:t>
      </w:r>
    </w:p>
    <w:p>
      <w:pPr>
        <w:pStyle w:val="5"/>
        <w:snapToGrid w:val="0"/>
        <w:spacing w:before="0" w:beforeAutospacing="0" w:after="0" w:afterAutospacing="0" w:line="600" w:lineRule="exact"/>
        <w:ind w:firstLine="640" w:firstLineChars="200"/>
        <w:jc w:val="both"/>
        <w:rPr>
          <w:rFonts w:hint="eastAsia" w:ascii="方正仿宋_GBK" w:hAnsi="方正仿宋_GBK" w:eastAsia="方正仿宋_GBK" w:cs="方正仿宋_GBK"/>
          <w:color w:val="FF0000"/>
          <w:sz w:val="32"/>
          <w:szCs w:val="32"/>
          <w:shd w:val="clear" w:color="auto" w:fill="FFFFFF"/>
          <w:lang w:eastAsia="zh-CN"/>
        </w:rPr>
      </w:pPr>
      <w:r>
        <w:rPr>
          <w:rFonts w:ascii="方正仿宋_GBK" w:hAnsi="方正仿宋_GBK" w:eastAsia="方正仿宋_GBK" w:cs="方正仿宋_GBK"/>
          <w:sz w:val="32"/>
          <w:szCs w:val="32"/>
          <w:shd w:val="clear" w:color="auto" w:fill="FFFFFF"/>
        </w:rPr>
        <w:t>（</w:t>
      </w:r>
      <w:r>
        <w:rPr>
          <w:rFonts w:hint="eastAsia" w:ascii="方正仿宋_GBK" w:hAnsi="方正仿宋_GBK" w:eastAsia="方正仿宋_GBK" w:cs="方正仿宋_GBK"/>
          <w:sz w:val="32"/>
          <w:szCs w:val="32"/>
          <w:shd w:val="clear" w:color="auto" w:fill="FFFFFF"/>
          <w:lang w:val="en-US" w:eastAsia="zh-CN"/>
        </w:rPr>
        <w:t>2</w:t>
      </w:r>
      <w:r>
        <w:rPr>
          <w:rFonts w:ascii="方正仿宋_GBK" w:hAnsi="方正仿宋_GBK" w:eastAsia="方正仿宋_GBK" w:cs="方正仿宋_GBK"/>
          <w:sz w:val="32"/>
          <w:szCs w:val="32"/>
          <w:shd w:val="clear" w:color="auto" w:fill="FFFFFF"/>
        </w:rPr>
        <w:t>）卫生健康支出</w:t>
      </w:r>
      <w:r>
        <w:rPr>
          <w:rFonts w:ascii="方正仿宋_GBK" w:hAnsi="方正仿宋_GBK" w:eastAsia="方正仿宋_GBK" w:cs="方正仿宋_GBK"/>
          <w:sz w:val="32"/>
          <w:szCs w:val="32"/>
        </w:rPr>
        <w:t>2.96</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5.43</w:t>
      </w:r>
      <w:r>
        <w:rPr>
          <w:rFonts w:ascii="方正仿宋_GBK" w:hAnsi="方正仿宋_GBK" w:eastAsia="方正仿宋_GBK" w:cs="方正仿宋_GBK"/>
          <w:sz w:val="32"/>
          <w:szCs w:val="32"/>
          <w:shd w:val="clear" w:color="auto" w:fill="FFFFFF"/>
        </w:rPr>
        <w:t>%，较年初预算数减少0.12万元，下降3.9%，</w:t>
      </w:r>
      <w:r>
        <w:rPr>
          <w:rFonts w:ascii="方正仿宋_GBK" w:hAnsi="方正仿宋_GBK" w:eastAsia="方正仿宋_GBK" w:cs="方正仿宋_GBK"/>
          <w:color w:val="auto"/>
          <w:sz w:val="32"/>
          <w:szCs w:val="32"/>
          <w:shd w:val="clear" w:color="auto" w:fill="FFFFFF"/>
        </w:rPr>
        <w:t>主要原因是</w:t>
      </w:r>
      <w:r>
        <w:rPr>
          <w:rFonts w:hint="eastAsia" w:ascii="方正仿宋_GBK" w:hAnsi="方正仿宋_GBK" w:eastAsia="方正仿宋_GBK" w:cs="方正仿宋_GBK"/>
          <w:color w:val="auto"/>
          <w:sz w:val="32"/>
          <w:szCs w:val="32"/>
          <w:shd w:val="clear" w:color="auto" w:fill="FFFFFF"/>
          <w:lang w:eastAsia="zh-CN"/>
        </w:rPr>
        <w:t>人员调动。</w:t>
      </w:r>
    </w:p>
    <w:p>
      <w:pPr>
        <w:ind w:firstLine="640" w:firstLineChars="200"/>
        <w:rPr>
          <w:rFonts w:hint="eastAsia" w:ascii="方正仿宋_GBK" w:hAnsi="方正仿宋_GBK" w:eastAsia="方正仿宋_GBK" w:cs="方正仿宋_GBK"/>
          <w:color w:val="FF0000"/>
          <w:sz w:val="32"/>
          <w:szCs w:val="32"/>
          <w:shd w:val="clear" w:color="auto" w:fill="FFFFFF"/>
          <w:lang w:eastAsia="zh-CN"/>
        </w:rPr>
      </w:pPr>
      <w:r>
        <w:rPr>
          <w:rFonts w:ascii="方正仿宋_GBK" w:hAnsi="方正仿宋_GBK" w:eastAsia="方正仿宋_GBK" w:cs="方正仿宋_GBK"/>
          <w:sz w:val="32"/>
          <w:szCs w:val="32"/>
          <w:shd w:val="clear" w:color="auto" w:fill="FFFFFF"/>
        </w:rPr>
        <w:t>（</w:t>
      </w:r>
      <w:r>
        <w:rPr>
          <w:rFonts w:hint="eastAsia" w:ascii="方正仿宋_GBK" w:hAnsi="方正仿宋_GBK" w:eastAsia="方正仿宋_GBK" w:cs="方正仿宋_GBK"/>
          <w:sz w:val="32"/>
          <w:szCs w:val="32"/>
          <w:shd w:val="clear" w:color="auto" w:fill="FFFFFF"/>
          <w:lang w:val="en-US" w:eastAsia="zh-CN"/>
        </w:rPr>
        <w:t>3</w:t>
      </w:r>
      <w:r>
        <w:rPr>
          <w:rFonts w:ascii="方正仿宋_GBK" w:hAnsi="方正仿宋_GBK" w:eastAsia="方正仿宋_GBK" w:cs="方正仿宋_GBK"/>
          <w:sz w:val="32"/>
          <w:szCs w:val="32"/>
          <w:shd w:val="clear" w:color="auto" w:fill="FFFFFF"/>
        </w:rPr>
        <w:t>）</w:t>
      </w:r>
      <w:r>
        <w:rPr>
          <w:rFonts w:ascii="方正仿宋_GBK" w:hAnsi="方正仿宋_GBK" w:eastAsia="方正仿宋_GBK" w:cs="方正仿宋_GBK"/>
          <w:sz w:val="32"/>
          <w:szCs w:val="32"/>
        </w:rPr>
        <w:t>住房保障支出2.83</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5.19</w:t>
      </w:r>
      <w:r>
        <w:rPr>
          <w:rFonts w:ascii="方正仿宋_GBK" w:hAnsi="方正仿宋_GBK" w:eastAsia="方正仿宋_GBK" w:cs="方正仿宋_GBK"/>
          <w:sz w:val="32"/>
          <w:szCs w:val="32"/>
          <w:shd w:val="clear" w:color="auto" w:fill="FFFFFF"/>
        </w:rPr>
        <w:t>%，较年初预算数无增减</w:t>
      </w:r>
      <w:r>
        <w:rPr>
          <w:rFonts w:hint="eastAsia" w:ascii="方正仿宋_GBK" w:hAnsi="方正仿宋_GBK" w:eastAsia="方正仿宋_GBK" w:cs="方正仿宋_GBK"/>
          <w:sz w:val="32"/>
          <w:szCs w:val="32"/>
          <w:shd w:val="clear" w:color="auto" w:fill="FFFFFF"/>
          <w:lang w:eastAsia="zh-CN"/>
        </w:rPr>
        <w:t>。</w:t>
      </w:r>
    </w:p>
    <w:p>
      <w:pPr>
        <w:pStyle w:val="10"/>
        <w:autoSpaceDE w:val="0"/>
        <w:ind w:firstLine="640"/>
        <w:rPr>
          <w:rFonts w:hint="eastAsia" w:ascii="楷体" w:hAnsi="楷体" w:eastAsia="楷体" w:cs="楷体"/>
          <w:b/>
          <w:bCs/>
          <w:sz w:val="32"/>
          <w:szCs w:val="32"/>
          <w:shd w:val="clear" w:color="auto" w:fill="FFFFFF"/>
          <w:lang w:bidi="ar"/>
        </w:rPr>
      </w:pPr>
      <w:r>
        <w:rPr>
          <w:rFonts w:hint="eastAsia" w:ascii="楷体" w:hAnsi="楷体" w:eastAsia="楷体" w:cs="楷体"/>
          <w:b/>
          <w:bCs/>
          <w:sz w:val="32"/>
          <w:szCs w:val="32"/>
          <w:shd w:val="clear" w:color="auto" w:fill="FFFFFF"/>
          <w:lang w:bidi="ar"/>
        </w:rPr>
        <w:t>（四）一般公共预算财政拨款基本支出决算情况说明</w:t>
      </w:r>
    </w:p>
    <w:p>
      <w:pPr>
        <w:pStyle w:val="10"/>
        <w:widowControl/>
        <w:autoSpaceDE w:val="0"/>
        <w:ind w:firstLine="640"/>
        <w:jc w:val="left"/>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 </w:t>
      </w:r>
      <w:r>
        <w:rPr>
          <w:rFonts w:hint="eastAsia" w:ascii="方正仿宋_GBK" w:hAnsi="方正仿宋_GBK" w:eastAsia="方正仿宋_GBK" w:cs="方正仿宋_GBK"/>
          <w:sz w:val="32"/>
          <w:szCs w:val="32"/>
          <w:shd w:val="clear" w:color="auto" w:fill="FFFFFF"/>
          <w:lang w:eastAsia="zh-CN"/>
        </w:rPr>
        <w:t>2024年</w:t>
      </w:r>
      <w:r>
        <w:rPr>
          <w:rFonts w:ascii="方正仿宋_GBK" w:hAnsi="方正仿宋_GBK" w:eastAsia="方正仿宋_GBK" w:cs="方正仿宋_GBK"/>
          <w:sz w:val="32"/>
          <w:szCs w:val="32"/>
          <w:shd w:val="clear" w:color="auto" w:fill="FFFFFF"/>
        </w:rPr>
        <w:t>度一般公共财政拨款基本支出</w:t>
      </w:r>
      <w:r>
        <w:rPr>
          <w:rFonts w:ascii="方正仿宋_GBK" w:hAnsi="方正仿宋_GBK" w:eastAsia="方正仿宋_GBK" w:cs="方正仿宋_GBK"/>
          <w:sz w:val="32"/>
          <w:szCs w:val="32"/>
        </w:rPr>
        <w:t>54.44</w:t>
      </w:r>
      <w:r>
        <w:rPr>
          <w:rFonts w:ascii="方正仿宋_GBK" w:hAnsi="方正仿宋_GBK" w:eastAsia="方正仿宋_GBK" w:cs="方正仿宋_GBK"/>
          <w:sz w:val="32"/>
          <w:szCs w:val="32"/>
          <w:shd w:val="clear" w:color="auto" w:fill="FFFFFF"/>
        </w:rPr>
        <w:t>万元。其中：人员经费</w:t>
      </w:r>
      <w:r>
        <w:rPr>
          <w:rFonts w:ascii="方正仿宋_GBK" w:hAnsi="方正仿宋_GBK" w:eastAsia="方正仿宋_GBK" w:cs="方正仿宋_GBK"/>
          <w:sz w:val="32"/>
          <w:szCs w:val="32"/>
        </w:rPr>
        <w:t>50.77</w:t>
      </w:r>
      <w:r>
        <w:rPr>
          <w:rFonts w:ascii="方正仿宋_GBK" w:hAnsi="方正仿宋_GBK" w:eastAsia="方正仿宋_GBK" w:cs="方正仿宋_GBK"/>
          <w:sz w:val="32"/>
          <w:szCs w:val="32"/>
          <w:shd w:val="clear" w:color="auto" w:fill="FFFFFF"/>
        </w:rPr>
        <w:t>万元，与2023年度相比，减少0.16万元，下降0.3%，主要原因是</w:t>
      </w:r>
      <w:r>
        <w:rPr>
          <w:rFonts w:hint="eastAsia" w:ascii="方正仿宋_GBK" w:hAnsi="方正仿宋_GBK" w:eastAsia="方正仿宋_GBK" w:cs="方正仿宋_GBK"/>
          <w:color w:val="auto"/>
          <w:sz w:val="32"/>
          <w:szCs w:val="32"/>
          <w:shd w:val="clear" w:color="auto" w:fill="FFFFFF"/>
        </w:rPr>
        <w:t>本年度人员调动、社保工资标准变化等导致人员类收入减少。</w:t>
      </w:r>
      <w:r>
        <w:rPr>
          <w:rFonts w:ascii="方正仿宋_GBK" w:hAnsi="方正仿宋_GBK" w:eastAsia="方正仿宋_GBK" w:cs="方正仿宋_GBK"/>
          <w:sz w:val="32"/>
          <w:szCs w:val="32"/>
          <w:shd w:val="clear" w:color="auto" w:fill="FFFFFF"/>
        </w:rPr>
        <w:t>人员经费用途主要包括</w:t>
      </w:r>
      <w:r>
        <w:rPr>
          <w:rFonts w:hint="eastAsia" w:ascii="方正仿宋_GBK" w:hAnsi="方正仿宋_GBK" w:eastAsia="方正仿宋_GBK" w:cs="方正仿宋_GBK"/>
          <w:color w:val="auto"/>
          <w:kern w:val="0"/>
          <w:sz w:val="32"/>
          <w:szCs w:val="32"/>
          <w:shd w:val="clear" w:color="auto" w:fill="FFFFFF"/>
        </w:rPr>
        <w:t>基本工资、津贴补贴、奖金、年度考核奖、绩效工资、社会保障缴费、公积金缴费等</w:t>
      </w:r>
      <w:r>
        <w:rPr>
          <w:rFonts w:ascii="方正仿宋_GBK" w:hAnsi="方正仿宋_GBK" w:eastAsia="方正仿宋_GBK" w:cs="方正仿宋_GBK"/>
          <w:color w:val="auto"/>
          <w:kern w:val="0"/>
          <w:sz w:val="32"/>
          <w:szCs w:val="32"/>
          <w:shd w:val="clear" w:color="auto" w:fill="FFFFFF"/>
        </w:rPr>
        <w:t>。</w:t>
      </w:r>
      <w:r>
        <w:rPr>
          <w:rFonts w:ascii="方正仿宋_GBK" w:hAnsi="方正仿宋_GBK" w:eastAsia="方正仿宋_GBK" w:cs="方正仿宋_GBK"/>
          <w:sz w:val="32"/>
          <w:szCs w:val="32"/>
          <w:shd w:val="clear" w:color="auto" w:fill="FFFFFF"/>
        </w:rPr>
        <w:t>公用经费</w:t>
      </w:r>
      <w:r>
        <w:rPr>
          <w:rFonts w:ascii="方正仿宋_GBK" w:hAnsi="方正仿宋_GBK" w:eastAsia="方正仿宋_GBK" w:cs="方正仿宋_GBK"/>
          <w:sz w:val="32"/>
          <w:szCs w:val="32"/>
        </w:rPr>
        <w:t>3.67</w:t>
      </w:r>
      <w:r>
        <w:rPr>
          <w:rFonts w:ascii="方正仿宋_GBK" w:hAnsi="方正仿宋_GBK" w:eastAsia="方正仿宋_GBK" w:cs="方正仿宋_GBK"/>
          <w:sz w:val="32"/>
          <w:szCs w:val="32"/>
          <w:shd w:val="clear" w:color="auto" w:fill="FFFFFF"/>
        </w:rPr>
        <w:t>万元，与2023年度相比，减少0.22万元，下降5.7%，主要原因是</w:t>
      </w:r>
      <w:r>
        <w:rPr>
          <w:rFonts w:hint="eastAsia" w:ascii="方正仿宋_GBK" w:hAnsi="方正仿宋_GBK" w:eastAsia="方正仿宋_GBK" w:cs="方正仿宋_GBK"/>
          <w:color w:val="auto"/>
          <w:kern w:val="0"/>
          <w:sz w:val="32"/>
          <w:szCs w:val="32"/>
          <w:shd w:val="clear" w:color="auto" w:fill="FFFFFF"/>
        </w:rPr>
        <w:t>本年度严格落实中央八项规定及市区“三公”经费管理要求，优化支出结构，严格审批程序，大力压缩机关办公开支、</w:t>
      </w:r>
      <w:r>
        <w:rPr>
          <w:rFonts w:hint="eastAsia" w:ascii="方正仿宋_GBK" w:hAnsi="方正仿宋_GBK" w:eastAsia="方正仿宋_GBK" w:cs="方正仿宋_GBK"/>
          <w:color w:val="auto"/>
          <w:kern w:val="0"/>
          <w:sz w:val="32"/>
          <w:szCs w:val="32"/>
          <w:shd w:val="clear" w:color="auto" w:fill="FFFFFF"/>
          <w:lang w:eastAsia="zh-CN"/>
        </w:rPr>
        <w:t>水电费</w:t>
      </w:r>
      <w:r>
        <w:rPr>
          <w:rFonts w:hint="eastAsia" w:ascii="方正仿宋_GBK" w:hAnsi="方正仿宋_GBK" w:eastAsia="方正仿宋_GBK" w:cs="方正仿宋_GBK"/>
          <w:color w:val="auto"/>
          <w:kern w:val="0"/>
          <w:sz w:val="32"/>
          <w:szCs w:val="32"/>
          <w:shd w:val="clear" w:color="auto" w:fill="FFFFFF"/>
        </w:rPr>
        <w:t>等支出</w:t>
      </w:r>
      <w:r>
        <w:rPr>
          <w:rFonts w:hint="eastAsia" w:ascii="方正仿宋_GBK" w:hAnsi="方正仿宋_GBK" w:eastAsia="方正仿宋_GBK" w:cs="方正仿宋_GBK"/>
          <w:color w:val="auto"/>
          <w:kern w:val="0"/>
          <w:sz w:val="32"/>
          <w:szCs w:val="32"/>
          <w:shd w:val="clear" w:color="auto" w:fill="FFFFFF"/>
          <w:lang w:eastAsia="zh-CN"/>
        </w:rPr>
        <w:t>，</w:t>
      </w:r>
      <w:r>
        <w:rPr>
          <w:rFonts w:hint="eastAsia" w:ascii="方正仿宋_GBK" w:hAnsi="方正仿宋_GBK" w:eastAsia="方正仿宋_GBK" w:cs="方正仿宋_GBK"/>
          <w:color w:val="auto"/>
          <w:kern w:val="0"/>
          <w:sz w:val="32"/>
          <w:szCs w:val="32"/>
          <w:shd w:val="clear" w:color="auto" w:fill="FFFFFF"/>
        </w:rPr>
        <w:t>降低运行成本</w:t>
      </w:r>
      <w:r>
        <w:rPr>
          <w:rFonts w:ascii="方正仿宋_GBK" w:hAnsi="方正仿宋_GBK" w:eastAsia="方正仿宋_GBK" w:cs="方正仿宋_GBK"/>
          <w:color w:val="auto"/>
          <w:kern w:val="0"/>
          <w:sz w:val="32"/>
          <w:szCs w:val="32"/>
          <w:shd w:val="clear" w:color="auto" w:fill="FFFFFF"/>
        </w:rPr>
        <w:t>。</w:t>
      </w:r>
      <w:r>
        <w:rPr>
          <w:rFonts w:ascii="方正仿宋_GBK" w:hAnsi="方正仿宋_GBK" w:eastAsia="方正仿宋_GBK" w:cs="方正仿宋_GBK"/>
          <w:sz w:val="32"/>
          <w:szCs w:val="32"/>
          <w:shd w:val="clear" w:color="auto" w:fill="FFFFFF"/>
        </w:rPr>
        <w:t>公用经费用途主要包括</w:t>
      </w:r>
      <w:r>
        <w:rPr>
          <w:rFonts w:hint="eastAsia" w:ascii="方正仿宋_GBK" w:hAnsi="方正仿宋_GBK" w:eastAsia="方正仿宋_GBK" w:cs="方正仿宋_GBK"/>
          <w:color w:val="auto"/>
          <w:kern w:val="0"/>
          <w:sz w:val="32"/>
          <w:szCs w:val="32"/>
          <w:shd w:val="clear" w:color="auto" w:fill="FFFFFF"/>
          <w:lang w:val="en-US" w:eastAsia="zh-CN" w:bidi="ar-SA"/>
        </w:rPr>
        <w:t>办公费、印刷费、水电费、邮电费、公务接待费、公务用车运行维护费、劳务费、物业管理费、维修费等</w:t>
      </w:r>
      <w:r>
        <w:rPr>
          <w:rFonts w:ascii="方正仿宋_GBK" w:hAnsi="方正仿宋_GBK" w:eastAsia="方正仿宋_GBK" w:cs="方正仿宋_GBK"/>
          <w:color w:val="auto"/>
          <w:kern w:val="0"/>
          <w:sz w:val="32"/>
          <w:szCs w:val="32"/>
          <w:shd w:val="clear" w:color="auto" w:fill="FFFFFF"/>
          <w:lang w:val="en-US" w:eastAsia="zh-CN" w:bidi="ar-SA"/>
        </w:rPr>
        <w:t>。</w:t>
      </w:r>
    </w:p>
    <w:p>
      <w:pPr>
        <w:pStyle w:val="10"/>
        <w:autoSpaceDE w:val="0"/>
        <w:ind w:firstLine="640"/>
        <w:rPr>
          <w:rFonts w:hint="eastAsia" w:ascii="楷体" w:hAnsi="楷体" w:eastAsia="楷体" w:cs="楷体"/>
          <w:b/>
          <w:bCs/>
          <w:sz w:val="32"/>
          <w:szCs w:val="32"/>
          <w:shd w:val="clear" w:color="auto" w:fill="FFFFFF"/>
          <w:lang w:bidi="ar"/>
        </w:rPr>
      </w:pPr>
      <w:r>
        <w:rPr>
          <w:rFonts w:hint="eastAsia" w:ascii="楷体" w:hAnsi="楷体" w:eastAsia="楷体" w:cs="楷体"/>
          <w:b/>
          <w:bCs/>
          <w:sz w:val="32"/>
          <w:szCs w:val="32"/>
          <w:shd w:val="clear" w:color="auto" w:fill="FFFFFF"/>
          <w:lang w:bidi="ar"/>
        </w:rPr>
        <w:t>（五）政府性基金预算收支决算情况说明</w:t>
      </w:r>
    </w:p>
    <w:p>
      <w:pPr>
        <w:pStyle w:val="5"/>
        <w:snapToGrid w:val="0"/>
        <w:spacing w:before="0" w:beforeAutospacing="0" w:after="0" w:afterAutospacing="0" w:line="600" w:lineRule="exact"/>
        <w:ind w:firstLine="640" w:firstLineChars="200"/>
        <w:jc w:val="both"/>
        <w:rPr>
          <w:rFonts w:hint="default" w:ascii="方正仿宋_GBK" w:hAnsi="方正仿宋_GBK" w:eastAsia="方正仿宋_GBK" w:cs="方正仿宋_GBK"/>
          <w:color w:val="auto"/>
          <w:kern w:val="0"/>
          <w:sz w:val="32"/>
          <w:szCs w:val="32"/>
          <w:shd w:val="clear" w:color="auto" w:fill="FFFFFF"/>
          <w:lang w:val="en-US" w:eastAsia="zh-CN" w:bidi="ar-SA"/>
        </w:rPr>
      </w:pPr>
      <w:r>
        <w:rPr>
          <w:rFonts w:hint="eastAsia" w:ascii="方正仿宋_GBK" w:hAnsi="方正仿宋_GBK" w:eastAsia="方正仿宋_GBK" w:cs="方正仿宋_GBK"/>
          <w:color w:val="auto"/>
          <w:kern w:val="0"/>
          <w:sz w:val="32"/>
          <w:szCs w:val="32"/>
          <w:shd w:val="clear" w:color="auto" w:fill="FFFFFF"/>
          <w:lang w:val="en-US" w:eastAsia="zh-CN" w:bidi="ar-SA"/>
        </w:rPr>
        <w:t>本单位2024年度无政府性基金预算财政拨款收支。</w:t>
      </w:r>
    </w:p>
    <w:p>
      <w:pPr>
        <w:pStyle w:val="10"/>
        <w:autoSpaceDE w:val="0"/>
        <w:ind w:firstLine="640"/>
        <w:rPr>
          <w:rFonts w:hint="eastAsia" w:ascii="楷体" w:hAnsi="楷体" w:eastAsia="楷体" w:cs="楷体"/>
          <w:b/>
          <w:bCs/>
          <w:sz w:val="32"/>
          <w:szCs w:val="32"/>
          <w:shd w:val="clear" w:color="auto" w:fill="FFFFFF"/>
          <w:lang w:bidi="ar"/>
        </w:rPr>
      </w:pPr>
      <w:r>
        <w:rPr>
          <w:rFonts w:hint="eastAsia" w:ascii="楷体" w:hAnsi="楷体" w:eastAsia="楷体" w:cs="楷体"/>
          <w:b/>
          <w:bCs/>
          <w:sz w:val="32"/>
          <w:szCs w:val="32"/>
          <w:shd w:val="clear" w:color="auto" w:fill="FFFFFF"/>
          <w:lang w:bidi="ar"/>
        </w:rPr>
        <w:t>（六）国有资本经营预算财政拨款支出决算情况说明</w:t>
      </w:r>
    </w:p>
    <w:p>
      <w:pPr>
        <w:pStyle w:val="5"/>
        <w:snapToGrid w:val="0"/>
        <w:spacing w:before="0" w:beforeAutospacing="0" w:after="0" w:afterAutospacing="0" w:line="600" w:lineRule="exact"/>
        <w:ind w:firstLine="640" w:firstLineChars="200"/>
        <w:jc w:val="both"/>
        <w:rPr>
          <w:rFonts w:hint="default" w:ascii="方正仿宋_GBK" w:hAnsi="方正仿宋_GBK" w:eastAsia="方正仿宋_GBK" w:cs="方正仿宋_GBK"/>
          <w:color w:val="auto"/>
          <w:kern w:val="0"/>
          <w:sz w:val="32"/>
          <w:szCs w:val="32"/>
          <w:shd w:val="clear" w:color="auto" w:fill="FFFFFF"/>
          <w:lang w:val="en-US" w:eastAsia="zh-CN" w:bidi="ar-SA"/>
        </w:rPr>
      </w:pPr>
      <w:r>
        <w:rPr>
          <w:rFonts w:hint="eastAsia" w:ascii="方正仿宋_GBK" w:hAnsi="方正仿宋_GBK" w:eastAsia="方正仿宋_GBK" w:cs="方正仿宋_GBK"/>
          <w:color w:val="auto"/>
          <w:kern w:val="0"/>
          <w:sz w:val="32"/>
          <w:szCs w:val="32"/>
          <w:shd w:val="clear" w:color="auto" w:fill="FFFFFF"/>
          <w:lang w:val="en-US" w:eastAsia="zh-CN" w:bidi="ar-SA"/>
        </w:rPr>
        <w:t>本单位2024年度无国有资本经营预算财政拨款支出。</w:t>
      </w:r>
    </w:p>
    <w:p>
      <w:pPr>
        <w:pStyle w:val="5"/>
        <w:shd w:val="clear" w:color="auto" w:fill="FFFFFF"/>
        <w:rPr>
          <w:rStyle w:val="9"/>
          <w:rFonts w:hint="eastAsia" w:ascii="黑体" w:hAnsi="黑体" w:eastAsia="黑体" w:cs="黑体"/>
          <w:sz w:val="32"/>
          <w:szCs w:val="32"/>
          <w:shd w:val="clear" w:color="auto" w:fill="FFFFFF"/>
        </w:rPr>
      </w:pPr>
      <w:r>
        <w:rPr>
          <w:rStyle w:val="9"/>
          <w:rFonts w:hint="eastAsia" w:ascii="黑体" w:hAnsi="黑体" w:eastAsia="黑体" w:cs="黑体"/>
          <w:sz w:val="32"/>
          <w:szCs w:val="32"/>
          <w:shd w:val="clear" w:color="auto" w:fill="FFFFFF"/>
        </w:rPr>
        <w:t>三、“三公”经费情况说明</w:t>
      </w:r>
    </w:p>
    <w:p>
      <w:pPr>
        <w:pStyle w:val="10"/>
        <w:autoSpaceDE w:val="0"/>
        <w:ind w:firstLine="640"/>
        <w:rPr>
          <w:rFonts w:hint="eastAsia" w:ascii="楷体" w:hAnsi="楷体" w:eastAsia="楷体" w:cs="楷体"/>
          <w:b/>
          <w:bCs/>
          <w:sz w:val="32"/>
          <w:szCs w:val="32"/>
          <w:shd w:val="clear" w:color="auto" w:fill="FFFFFF"/>
          <w:lang w:bidi="ar"/>
        </w:rPr>
      </w:pPr>
      <w:r>
        <w:rPr>
          <w:rFonts w:hint="eastAsia" w:ascii="楷体" w:hAnsi="楷体" w:eastAsia="楷体" w:cs="楷体"/>
          <w:b/>
          <w:bCs/>
          <w:sz w:val="32"/>
          <w:szCs w:val="32"/>
          <w:shd w:val="clear" w:color="auto" w:fill="FFFFFF"/>
          <w:lang w:bidi="ar"/>
        </w:rPr>
        <w:t xml:space="preserve"> （一）“三公”经费支出总体情况说明</w:t>
      </w:r>
    </w:p>
    <w:p>
      <w:pPr>
        <w:pStyle w:val="10"/>
        <w:autoSpaceDE w:val="0"/>
        <w:ind w:firstLine="640"/>
        <w:rPr>
          <w:rFonts w:hint="eastAsia" w:ascii="方正仿宋_GBK" w:hAnsi="方正仿宋_GBK" w:eastAsia="方正仿宋_GBK" w:cs="方正仿宋_GBK"/>
          <w:sz w:val="32"/>
          <w:szCs w:val="32"/>
          <w:shd w:val="clear" w:color="auto" w:fill="FFFFFF"/>
          <w:lang w:eastAsia="zh-CN"/>
        </w:rPr>
      </w:pPr>
      <w:r>
        <w:rPr>
          <w:rFonts w:hint="eastAsia" w:ascii="方正仿宋_GBK" w:hAnsi="方正仿宋_GBK" w:eastAsia="方正仿宋_GBK" w:cs="方正仿宋_GBK"/>
          <w:sz w:val="32"/>
          <w:szCs w:val="32"/>
          <w:shd w:val="clear" w:color="auto" w:fill="FFFFFF"/>
          <w:lang w:eastAsia="zh-CN"/>
        </w:rPr>
        <w:t>本单位与街道办事处本级合并办公，三公经费开支由街道本级统一预算，统一审批开支，故本单位无三公经费支出情况。</w:t>
      </w:r>
    </w:p>
    <w:p>
      <w:pPr>
        <w:pStyle w:val="10"/>
        <w:autoSpaceDE w:val="0"/>
        <w:ind w:firstLine="640"/>
        <w:rPr>
          <w:rFonts w:hint="eastAsia" w:ascii="楷体" w:hAnsi="楷体" w:eastAsia="楷体" w:cs="楷体"/>
          <w:b/>
          <w:bCs/>
          <w:sz w:val="32"/>
          <w:szCs w:val="32"/>
          <w:shd w:val="clear" w:color="auto" w:fill="FFFFFF"/>
          <w:lang w:bidi="ar"/>
        </w:rPr>
      </w:pPr>
      <w:r>
        <w:rPr>
          <w:rFonts w:hint="eastAsia" w:ascii="楷体" w:hAnsi="楷体" w:eastAsia="楷体" w:cs="楷体"/>
          <w:b/>
          <w:bCs/>
          <w:sz w:val="32"/>
          <w:szCs w:val="32"/>
          <w:shd w:val="clear" w:color="auto" w:fill="FFFFFF"/>
          <w:lang w:bidi="ar"/>
        </w:rPr>
        <w:t>（二）“三公”经费分项支出情况</w:t>
      </w:r>
    </w:p>
    <w:p>
      <w:pPr>
        <w:pStyle w:val="5"/>
        <w:snapToGrid w:val="0"/>
        <w:spacing w:before="0" w:beforeAutospacing="0" w:after="0" w:afterAutospacing="0" w:line="600" w:lineRule="exact"/>
        <w:ind w:firstLine="640" w:firstLineChars="200"/>
        <w:jc w:val="both"/>
        <w:rPr>
          <w:rFonts w:hint="eastAsia" w:ascii="方正仿宋_GBK" w:hAnsi="方正仿宋_GBK" w:eastAsia="方正仿宋_GBK" w:cs="方正仿宋_GBK"/>
          <w:sz w:val="32"/>
          <w:szCs w:val="32"/>
          <w:shd w:val="clear" w:color="auto" w:fill="FFFFFF"/>
          <w:lang w:eastAsia="zh-CN"/>
        </w:rPr>
      </w:pPr>
      <w:r>
        <w:rPr>
          <w:rFonts w:hint="eastAsia" w:ascii="方正仿宋_GBK" w:hAnsi="方正仿宋_GBK" w:eastAsia="方正仿宋_GBK" w:cs="方正仿宋_GBK"/>
          <w:sz w:val="32"/>
          <w:szCs w:val="32"/>
          <w:shd w:val="clear" w:color="auto" w:fill="FFFFFF"/>
          <w:lang w:eastAsia="zh-CN"/>
        </w:rPr>
        <w:t>本单位202</w:t>
      </w:r>
      <w:r>
        <w:rPr>
          <w:rFonts w:hint="eastAsia" w:ascii="方正仿宋_GBK" w:hAnsi="方正仿宋_GBK" w:eastAsia="方正仿宋_GBK" w:cs="方正仿宋_GBK"/>
          <w:sz w:val="32"/>
          <w:szCs w:val="32"/>
          <w:shd w:val="clear" w:color="auto" w:fill="FFFFFF"/>
          <w:lang w:val="en-US" w:eastAsia="zh-CN"/>
        </w:rPr>
        <w:t>4</w:t>
      </w:r>
      <w:r>
        <w:rPr>
          <w:rFonts w:hint="eastAsia" w:ascii="方正仿宋_GBK" w:hAnsi="方正仿宋_GBK" w:eastAsia="方正仿宋_GBK" w:cs="方正仿宋_GBK"/>
          <w:sz w:val="32"/>
          <w:szCs w:val="32"/>
          <w:shd w:val="clear" w:color="auto" w:fill="FFFFFF"/>
          <w:lang w:eastAsia="zh-CN"/>
        </w:rPr>
        <w:t>年度未产生因公出国（境）费用、公务用</w:t>
      </w:r>
      <w:bookmarkStart w:id="0" w:name="_GoBack"/>
      <w:bookmarkEnd w:id="0"/>
      <w:r>
        <w:rPr>
          <w:rFonts w:hint="eastAsia" w:ascii="方正仿宋_GBK" w:hAnsi="方正仿宋_GBK" w:eastAsia="方正仿宋_GBK" w:cs="方正仿宋_GBK"/>
          <w:sz w:val="32"/>
          <w:szCs w:val="32"/>
          <w:shd w:val="clear" w:color="auto" w:fill="FFFFFF"/>
          <w:lang w:eastAsia="zh-CN"/>
        </w:rPr>
        <w:t>车购置费用、公务车运行维护费、公务接待费等支出。</w:t>
      </w:r>
    </w:p>
    <w:p>
      <w:pPr>
        <w:pStyle w:val="10"/>
        <w:autoSpaceDE w:val="0"/>
        <w:ind w:firstLine="640"/>
        <w:rPr>
          <w:rFonts w:hint="eastAsia" w:ascii="楷体" w:hAnsi="楷体" w:eastAsia="楷体" w:cs="楷体"/>
          <w:b/>
          <w:bCs/>
          <w:sz w:val="32"/>
          <w:szCs w:val="32"/>
          <w:shd w:val="clear" w:color="auto" w:fill="FFFFFF"/>
          <w:lang w:bidi="ar"/>
        </w:rPr>
      </w:pPr>
      <w:r>
        <w:rPr>
          <w:rFonts w:hint="eastAsia" w:ascii="楷体" w:hAnsi="楷体" w:eastAsia="楷体" w:cs="楷体"/>
          <w:b/>
          <w:bCs/>
          <w:sz w:val="32"/>
          <w:szCs w:val="32"/>
          <w:shd w:val="clear" w:color="auto" w:fill="FFFFFF"/>
          <w:lang w:bidi="ar"/>
        </w:rPr>
        <w:t>（三）“三公”经费实物量情况</w:t>
      </w:r>
    </w:p>
    <w:p>
      <w:pPr>
        <w:pStyle w:val="5"/>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rPr>
      </w:pPr>
      <w:r>
        <w:rPr>
          <w:rFonts w:hint="eastAsia" w:ascii="方正仿宋_GBK" w:hAnsi="方正仿宋_GBK" w:eastAsia="方正仿宋_GBK" w:cs="方正仿宋_GBK"/>
          <w:sz w:val="32"/>
          <w:szCs w:val="32"/>
          <w:shd w:val="clear" w:color="auto" w:fill="FFFFFF"/>
          <w:lang w:eastAsia="zh-CN"/>
        </w:rPr>
        <w:t>2024年</w:t>
      </w:r>
      <w:r>
        <w:rPr>
          <w:rFonts w:ascii="方正仿宋_GBK" w:hAnsi="方正仿宋_GBK" w:eastAsia="方正仿宋_GBK" w:cs="方正仿宋_GBK"/>
          <w:sz w:val="32"/>
          <w:szCs w:val="32"/>
          <w:shd w:val="clear" w:color="auto" w:fill="FFFFFF"/>
        </w:rPr>
        <w:t>度本</w:t>
      </w:r>
      <w:r>
        <w:rPr>
          <w:rFonts w:hint="eastAsia" w:ascii="方正仿宋_GBK" w:hAnsi="方正仿宋_GBK" w:eastAsia="方正仿宋_GBK" w:cs="方正仿宋_GBK"/>
          <w:sz w:val="32"/>
          <w:szCs w:val="32"/>
          <w:shd w:val="clear" w:color="auto" w:fill="FFFFFF"/>
          <w:lang w:eastAsia="zh-CN"/>
        </w:rPr>
        <w:t>单位</w:t>
      </w:r>
      <w:r>
        <w:rPr>
          <w:rFonts w:ascii="方正仿宋_GBK" w:hAnsi="方正仿宋_GBK" w:eastAsia="方正仿宋_GBK" w:cs="方正仿宋_GBK"/>
          <w:sz w:val="32"/>
          <w:szCs w:val="32"/>
          <w:shd w:val="clear" w:color="auto" w:fill="FFFFFF"/>
        </w:rPr>
        <w:t>公务用车购置</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辆，公务车保有量为</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辆</w:t>
      </w:r>
      <w:r>
        <w:rPr>
          <w:rFonts w:hint="eastAsia" w:ascii="方正仿宋_GBK" w:hAnsi="方正仿宋_GBK" w:eastAsia="方正仿宋_GBK" w:cs="方正仿宋_GBK"/>
          <w:sz w:val="32"/>
          <w:szCs w:val="32"/>
          <w:shd w:val="clear" w:color="auto" w:fill="FFFFFF"/>
          <w:lang w:eastAsia="zh-CN"/>
        </w:rPr>
        <w:t>。</w:t>
      </w:r>
    </w:p>
    <w:p>
      <w:pPr>
        <w:pStyle w:val="5"/>
        <w:shd w:val="clear" w:color="auto" w:fill="FFFFFF"/>
        <w:rPr>
          <w:rStyle w:val="9"/>
          <w:rFonts w:hint="default" w:ascii="方正仿宋_GBK" w:hAnsi="方正仿宋_GBK" w:eastAsia="方正仿宋_GBK" w:cs="方正仿宋_GBK"/>
          <w:sz w:val="32"/>
          <w:szCs w:val="32"/>
          <w:shd w:val="clear" w:color="auto" w:fill="FFFFFF"/>
        </w:rPr>
      </w:pPr>
      <w:r>
        <w:rPr>
          <w:rStyle w:val="9"/>
          <w:rFonts w:hint="eastAsia" w:ascii="黑体" w:hAnsi="黑体" w:eastAsia="黑体" w:cs="黑体"/>
          <w:sz w:val="32"/>
          <w:szCs w:val="32"/>
          <w:shd w:val="clear" w:color="auto" w:fill="FFFFFF"/>
        </w:rPr>
        <w:t>四、其他需要说明的事项</w:t>
      </w:r>
    </w:p>
    <w:p>
      <w:pPr>
        <w:pStyle w:val="10"/>
        <w:autoSpaceDE w:val="0"/>
        <w:ind w:firstLine="640"/>
        <w:rPr>
          <w:rFonts w:hint="eastAsia" w:ascii="楷体" w:hAnsi="楷体" w:eastAsia="楷体" w:cs="楷体"/>
          <w:b/>
          <w:bCs/>
          <w:sz w:val="32"/>
          <w:szCs w:val="32"/>
          <w:shd w:val="clear" w:color="auto" w:fill="FFFFFF"/>
          <w:lang w:bidi="ar"/>
        </w:rPr>
      </w:pPr>
      <w:r>
        <w:rPr>
          <w:rFonts w:hint="eastAsia" w:ascii="楷体" w:hAnsi="楷体" w:eastAsia="楷体" w:cs="楷体"/>
          <w:b/>
          <w:bCs/>
          <w:sz w:val="32"/>
          <w:szCs w:val="32"/>
          <w:shd w:val="clear" w:color="auto" w:fill="FFFFFF"/>
          <w:lang w:bidi="ar"/>
        </w:rPr>
        <w:t>  （一）财政拨款会议费和培训费情况说明</w:t>
      </w:r>
    </w:p>
    <w:p>
      <w:pPr>
        <w:pStyle w:val="5"/>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  本年度会议费支出</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万元，与2023年度相比，无增减</w:t>
      </w:r>
      <w:r>
        <w:rPr>
          <w:rFonts w:hint="eastAsia" w:ascii="方正仿宋_GBK" w:hAnsi="方正仿宋_GBK" w:eastAsia="方正仿宋_GBK" w:cs="方正仿宋_GBK"/>
          <w:sz w:val="32"/>
          <w:szCs w:val="32"/>
          <w:shd w:val="clear" w:color="auto" w:fill="FFFFFF"/>
          <w:lang w:eastAsia="zh-CN"/>
        </w:rPr>
        <w:t>。</w:t>
      </w:r>
      <w:r>
        <w:rPr>
          <w:rFonts w:ascii="方正仿宋_GBK" w:hAnsi="方正仿宋_GBK" w:eastAsia="方正仿宋_GBK" w:cs="方正仿宋_GBK"/>
          <w:sz w:val="32"/>
          <w:szCs w:val="32"/>
          <w:shd w:val="clear" w:color="auto" w:fill="FFFFFF"/>
        </w:rPr>
        <w:t>本年度培训费支出</w:t>
      </w:r>
      <w:r>
        <w:rPr>
          <w:rFonts w:ascii="方正仿宋_GBK" w:hAnsi="方正仿宋_GBK" w:eastAsia="方正仿宋_GBK" w:cs="方正仿宋_GBK"/>
          <w:sz w:val="32"/>
          <w:szCs w:val="32"/>
        </w:rPr>
        <w:t>0.35</w:t>
      </w:r>
      <w:r>
        <w:rPr>
          <w:rFonts w:ascii="方正仿宋_GBK" w:hAnsi="方正仿宋_GBK" w:eastAsia="方正仿宋_GBK" w:cs="方正仿宋_GBK"/>
          <w:sz w:val="32"/>
          <w:szCs w:val="32"/>
          <w:shd w:val="clear" w:color="auto" w:fill="FFFFFF"/>
        </w:rPr>
        <w:t>万元，与2023年度相比，增加0.35万元，增长100.0%，主要原因是</w:t>
      </w:r>
      <w:r>
        <w:rPr>
          <w:rFonts w:hint="eastAsia" w:ascii="方正仿宋_GBK" w:hAnsi="方正仿宋_GBK" w:eastAsia="方正仿宋_GBK" w:cs="方正仿宋_GBK"/>
          <w:sz w:val="32"/>
          <w:szCs w:val="32"/>
          <w:shd w:val="clear" w:color="auto" w:fill="FFFFFF"/>
        </w:rPr>
        <w:t>组织外出培训较上年增加</w:t>
      </w:r>
      <w:r>
        <w:rPr>
          <w:rFonts w:ascii="方正仿宋_GBK" w:hAnsi="方正仿宋_GBK" w:eastAsia="方正仿宋_GBK" w:cs="方正仿宋_GBK"/>
          <w:sz w:val="32"/>
          <w:szCs w:val="32"/>
          <w:shd w:val="clear" w:color="auto" w:fill="FFFFFF"/>
        </w:rPr>
        <w:t>。</w:t>
      </w:r>
    </w:p>
    <w:p>
      <w:pPr>
        <w:pStyle w:val="10"/>
        <w:autoSpaceDE w:val="0"/>
        <w:ind w:firstLine="640"/>
        <w:rPr>
          <w:rFonts w:hint="eastAsia" w:ascii="楷体" w:hAnsi="楷体" w:eastAsia="楷体" w:cs="楷体"/>
          <w:b/>
          <w:bCs/>
          <w:sz w:val="32"/>
          <w:szCs w:val="32"/>
          <w:shd w:val="clear" w:color="auto" w:fill="FFFFFF"/>
          <w:lang w:bidi="ar"/>
        </w:rPr>
      </w:pPr>
      <w:r>
        <w:rPr>
          <w:rFonts w:hint="eastAsia" w:ascii="楷体" w:hAnsi="楷体" w:eastAsia="楷体" w:cs="楷体"/>
          <w:b/>
          <w:bCs/>
          <w:sz w:val="32"/>
          <w:szCs w:val="32"/>
          <w:shd w:val="clear" w:color="auto" w:fill="FFFFFF"/>
          <w:lang w:bidi="ar"/>
        </w:rPr>
        <w:t>（二）机关运行经费情况说明</w:t>
      </w:r>
    </w:p>
    <w:p>
      <w:pPr>
        <w:pStyle w:val="5"/>
        <w:snapToGrid w:val="0"/>
        <w:spacing w:before="0" w:beforeAutospacing="0" w:after="0" w:afterAutospacing="0" w:line="600" w:lineRule="exact"/>
        <w:ind w:firstLine="640" w:firstLineChars="200"/>
        <w:jc w:val="both"/>
        <w:rPr>
          <w:rFonts w:hint="default" w:ascii="方正仿宋_GBK" w:hAnsi="方正仿宋_GBK" w:eastAsia="方正仿宋_GBK" w:cs="方正仿宋_GBK"/>
          <w:color w:val="FF0000"/>
          <w:sz w:val="32"/>
          <w:szCs w:val="32"/>
          <w:shd w:val="clear" w:color="auto" w:fill="FFFFFF"/>
        </w:rPr>
      </w:pPr>
      <w:r>
        <w:rPr>
          <w:rFonts w:hint="eastAsia" w:ascii="方正仿宋_GBK" w:hAnsi="方正仿宋_GBK" w:eastAsia="方正仿宋_GBK" w:cs="方正仿宋_GBK"/>
          <w:sz w:val="32"/>
          <w:szCs w:val="32"/>
          <w:shd w:val="clear" w:color="auto" w:fill="FFFFFF"/>
          <w:lang w:eastAsia="zh-CN"/>
        </w:rPr>
        <w:t>2024年</w:t>
      </w:r>
      <w:r>
        <w:rPr>
          <w:rFonts w:ascii="方正仿宋_GBK" w:hAnsi="方正仿宋_GBK" w:eastAsia="方正仿宋_GBK" w:cs="方正仿宋_GBK"/>
          <w:sz w:val="32"/>
          <w:szCs w:val="32"/>
          <w:shd w:val="clear" w:color="auto" w:fill="FFFFFF"/>
        </w:rPr>
        <w:t>度本</w:t>
      </w:r>
      <w:r>
        <w:rPr>
          <w:rFonts w:hint="eastAsia" w:ascii="方正仿宋_GBK" w:hAnsi="方正仿宋_GBK" w:eastAsia="方正仿宋_GBK" w:cs="方正仿宋_GBK"/>
          <w:sz w:val="32"/>
          <w:szCs w:val="32"/>
          <w:shd w:val="clear" w:color="auto" w:fill="FFFFFF"/>
          <w:lang w:eastAsia="zh-CN"/>
        </w:rPr>
        <w:t>单位未产生</w:t>
      </w:r>
      <w:r>
        <w:rPr>
          <w:rFonts w:ascii="方正仿宋_GBK" w:hAnsi="方正仿宋_GBK" w:eastAsia="方正仿宋_GBK" w:cs="方正仿宋_GBK"/>
          <w:sz w:val="32"/>
          <w:szCs w:val="32"/>
          <w:shd w:val="clear" w:color="auto" w:fill="FFFFFF"/>
        </w:rPr>
        <w:t>机关运行经费支出</w:t>
      </w:r>
      <w:r>
        <w:rPr>
          <w:rFonts w:hint="eastAsia" w:ascii="方正仿宋_GBK" w:hAnsi="方正仿宋_GBK" w:eastAsia="方正仿宋_GBK" w:cs="方正仿宋_GBK"/>
          <w:sz w:val="32"/>
          <w:szCs w:val="32"/>
          <w:shd w:val="clear" w:color="auto" w:fill="FFFFFF"/>
          <w:lang w:eastAsia="zh-CN"/>
        </w:rPr>
        <w:t>，</w:t>
      </w:r>
      <w:r>
        <w:rPr>
          <w:rFonts w:ascii="方正仿宋_GBK" w:hAnsi="方正仿宋_GBK" w:eastAsia="方正仿宋_GBK" w:cs="方正仿宋_GBK"/>
          <w:sz w:val="32"/>
          <w:szCs w:val="32"/>
          <w:shd w:val="clear" w:color="auto" w:fill="FFFFFF"/>
        </w:rPr>
        <w:t>主要原</w:t>
      </w:r>
      <w:r>
        <w:rPr>
          <w:rFonts w:ascii="方正仿宋_GBK" w:hAnsi="方正仿宋_GBK" w:eastAsia="方正仿宋_GBK" w:cs="方正仿宋_GBK"/>
          <w:color w:val="auto"/>
          <w:sz w:val="32"/>
          <w:szCs w:val="32"/>
          <w:shd w:val="clear" w:color="auto" w:fill="FFFFFF"/>
        </w:rPr>
        <w:t>因是</w:t>
      </w:r>
      <w:r>
        <w:rPr>
          <w:rFonts w:hint="eastAsia" w:ascii="方正仿宋_GBK" w:hAnsi="方正仿宋_GBK" w:eastAsia="方正仿宋_GBK" w:cs="方正仿宋_GBK"/>
          <w:color w:val="auto"/>
          <w:sz w:val="32"/>
          <w:szCs w:val="32"/>
          <w:shd w:val="clear" w:color="auto" w:fill="FFFFFF"/>
        </w:rPr>
        <w:t>本单位与街道办事处本级合并办公，机关运行经费开支由街道本级统一预算，统一审批开支，故本单位无机关运行经费支出情况。</w:t>
      </w:r>
    </w:p>
    <w:p>
      <w:pPr>
        <w:pStyle w:val="10"/>
        <w:autoSpaceDE w:val="0"/>
        <w:ind w:firstLine="640"/>
        <w:rPr>
          <w:rFonts w:hint="eastAsia" w:ascii="楷体" w:hAnsi="楷体" w:eastAsia="楷体" w:cs="楷体"/>
          <w:b/>
          <w:bCs/>
          <w:sz w:val="32"/>
          <w:szCs w:val="32"/>
          <w:shd w:val="clear" w:color="auto" w:fill="FFFFFF"/>
          <w:lang w:bidi="ar"/>
        </w:rPr>
      </w:pPr>
      <w:r>
        <w:rPr>
          <w:rFonts w:hint="eastAsia" w:ascii="楷体" w:hAnsi="楷体" w:eastAsia="楷体" w:cs="楷体"/>
          <w:b/>
          <w:bCs/>
          <w:sz w:val="32"/>
          <w:szCs w:val="32"/>
          <w:shd w:val="clear" w:color="auto" w:fill="FFFFFF"/>
          <w:lang w:bidi="ar"/>
        </w:rPr>
        <w:t>（三）国有资产占用情况说明</w:t>
      </w:r>
    </w:p>
    <w:p>
      <w:pPr>
        <w:pStyle w:val="5"/>
        <w:snapToGrid w:val="0"/>
        <w:spacing w:before="0" w:beforeAutospacing="0" w:after="0" w:afterAutospacing="0" w:line="600" w:lineRule="exact"/>
        <w:ind w:firstLine="640" w:firstLineChars="200"/>
        <w:jc w:val="both"/>
        <w:rPr>
          <w:rFonts w:hint="eastAsia" w:ascii="方正仿宋_GBK" w:hAnsi="方正仿宋_GBK" w:eastAsia="方正仿宋_GBK" w:cs="方正仿宋_GBK"/>
          <w:color w:val="FF0000"/>
          <w:sz w:val="32"/>
          <w:szCs w:val="32"/>
          <w:lang w:eastAsia="zh-CN"/>
        </w:rPr>
      </w:pPr>
      <w:r>
        <w:rPr>
          <w:rFonts w:ascii="方正仿宋_GBK" w:hAnsi="方正仿宋_GBK" w:eastAsia="方正仿宋_GBK" w:cs="方正仿宋_GBK"/>
          <w:sz w:val="32"/>
          <w:szCs w:val="32"/>
          <w:shd w:val="clear" w:color="auto" w:fill="FFFFFF"/>
        </w:rPr>
        <w:t>截至</w:t>
      </w:r>
      <w:r>
        <w:rPr>
          <w:rFonts w:hint="eastAsia" w:ascii="方正仿宋_GBK" w:hAnsi="方正仿宋_GBK" w:eastAsia="方正仿宋_GBK" w:cs="方正仿宋_GBK"/>
          <w:sz w:val="32"/>
          <w:szCs w:val="32"/>
          <w:shd w:val="clear" w:color="auto" w:fill="FFFFFF"/>
          <w:lang w:eastAsia="zh-CN"/>
        </w:rPr>
        <w:t>2024年</w:t>
      </w:r>
      <w:r>
        <w:rPr>
          <w:rFonts w:ascii="方正仿宋_GBK" w:hAnsi="方正仿宋_GBK" w:eastAsia="方正仿宋_GBK" w:cs="方正仿宋_GBK"/>
          <w:sz w:val="32"/>
          <w:szCs w:val="32"/>
          <w:shd w:val="clear" w:color="auto" w:fill="FFFFFF"/>
        </w:rPr>
        <w:t>12月31日，本部门共有车辆</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辆</w:t>
      </w:r>
      <w:r>
        <w:rPr>
          <w:rFonts w:hint="eastAsia" w:ascii="方正仿宋_GBK" w:hAnsi="方正仿宋_GBK" w:eastAsia="方正仿宋_GBK" w:cs="方正仿宋_GBK"/>
          <w:sz w:val="32"/>
          <w:szCs w:val="32"/>
          <w:shd w:val="clear" w:color="auto" w:fill="FFFFFF"/>
          <w:lang w:eastAsia="zh-CN"/>
        </w:rPr>
        <w:t>。</w:t>
      </w:r>
    </w:p>
    <w:p>
      <w:pPr>
        <w:pStyle w:val="10"/>
        <w:autoSpaceDE w:val="0"/>
        <w:ind w:firstLine="640"/>
        <w:rPr>
          <w:rFonts w:hint="eastAsia" w:ascii="楷体" w:hAnsi="楷体" w:eastAsia="楷体" w:cs="楷体"/>
          <w:b/>
          <w:bCs/>
          <w:sz w:val="32"/>
          <w:szCs w:val="32"/>
          <w:shd w:val="clear" w:color="auto" w:fill="FFFFFF"/>
          <w:lang w:bidi="ar"/>
        </w:rPr>
      </w:pPr>
      <w:r>
        <w:rPr>
          <w:rFonts w:hint="eastAsia" w:ascii="楷体" w:hAnsi="楷体" w:eastAsia="楷体" w:cs="楷体"/>
          <w:b/>
          <w:bCs/>
          <w:sz w:val="32"/>
          <w:szCs w:val="32"/>
          <w:shd w:val="clear" w:color="auto" w:fill="FFFFFF"/>
          <w:lang w:bidi="ar"/>
        </w:rPr>
        <w:t>（四）政府采购支出情况说明</w:t>
      </w:r>
    </w:p>
    <w:p>
      <w:pPr>
        <w:pStyle w:val="5"/>
        <w:snapToGrid w:val="0"/>
        <w:spacing w:before="0" w:beforeAutospacing="0" w:after="0" w:afterAutospacing="0" w:line="600" w:lineRule="exact"/>
        <w:ind w:firstLine="640" w:firstLineChars="200"/>
        <w:jc w:val="both"/>
        <w:rPr>
          <w:rFonts w:hint="eastAsia" w:ascii="方正仿宋_GBK" w:hAnsi="方正仿宋_GBK" w:eastAsia="方正仿宋_GBK" w:cs="方正仿宋_GBK"/>
          <w:color w:val="FF0000"/>
          <w:sz w:val="32"/>
          <w:szCs w:val="32"/>
          <w:shd w:val="clear" w:color="auto" w:fill="FFFFFF"/>
          <w:lang w:eastAsia="zh-CN"/>
        </w:rPr>
      </w:pPr>
      <w:r>
        <w:rPr>
          <w:rFonts w:hint="eastAsia" w:ascii="方正仿宋_GBK" w:hAnsi="方正仿宋_GBK" w:eastAsia="方正仿宋_GBK" w:cs="方正仿宋_GBK"/>
          <w:sz w:val="32"/>
          <w:szCs w:val="32"/>
          <w:shd w:val="clear" w:color="auto" w:fill="FFFFFF"/>
          <w:lang w:eastAsia="zh-CN"/>
        </w:rPr>
        <w:t>2024年度我单位未发生政府采购事项，无相关经费支出。</w:t>
      </w:r>
    </w:p>
    <w:p>
      <w:pPr>
        <w:pStyle w:val="5"/>
        <w:numPr>
          <w:ilvl w:val="0"/>
          <w:numId w:val="1"/>
        </w:numPr>
        <w:shd w:val="clear" w:color="auto" w:fill="FFFFFF"/>
        <w:rPr>
          <w:rStyle w:val="9"/>
          <w:rFonts w:hint="eastAsia" w:ascii="黑体" w:hAnsi="黑体" w:eastAsia="黑体" w:cs="黑体"/>
          <w:sz w:val="32"/>
          <w:szCs w:val="32"/>
          <w:shd w:val="clear" w:color="auto" w:fill="FFFFFF"/>
        </w:rPr>
      </w:pPr>
      <w:r>
        <w:rPr>
          <w:rStyle w:val="9"/>
          <w:rFonts w:hint="eastAsia" w:ascii="黑体" w:hAnsi="黑体" w:eastAsia="黑体" w:cs="黑体"/>
          <w:sz w:val="32"/>
          <w:szCs w:val="32"/>
          <w:shd w:val="clear" w:color="auto" w:fill="FFFFFF"/>
        </w:rPr>
        <w:t>预算绩效管理情况说明</w:t>
      </w:r>
    </w:p>
    <w:p>
      <w:pPr>
        <w:pStyle w:val="10"/>
        <w:autoSpaceDE w:val="0"/>
        <w:ind w:firstLine="640"/>
        <w:rPr>
          <w:rFonts w:hint="eastAsia" w:ascii="楷体" w:hAnsi="楷体" w:eastAsia="楷体" w:cs="楷体"/>
          <w:b/>
          <w:bCs/>
          <w:sz w:val="32"/>
          <w:szCs w:val="32"/>
          <w:shd w:val="clear" w:color="auto" w:fill="FFFFFF"/>
          <w:lang w:bidi="ar"/>
        </w:rPr>
      </w:pPr>
      <w:r>
        <w:rPr>
          <w:rFonts w:hint="eastAsia" w:ascii="楷体" w:hAnsi="楷体" w:eastAsia="楷体" w:cs="楷体"/>
          <w:b/>
          <w:bCs/>
          <w:sz w:val="32"/>
          <w:szCs w:val="32"/>
          <w:shd w:val="clear" w:color="auto" w:fill="FFFFFF"/>
          <w:lang w:bidi="ar"/>
        </w:rPr>
        <w:t>（一）单位自评情况</w:t>
      </w:r>
    </w:p>
    <w:p>
      <w:pPr>
        <w:pStyle w:val="11"/>
        <w:spacing w:before="0" w:beforeAutospacing="0"/>
        <w:ind w:firstLine="640" w:firstLineChars="200"/>
        <w:rPr>
          <w:rFonts w:hint="eastAsia"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shd w:val="clear" w:color="auto" w:fill="FFFFFF"/>
          <w:lang w:bidi="ar"/>
        </w:rPr>
        <w:t>本单位本年无项目资金，项目主要由街道本级统一管理，统一实施，故未开展项目绩效目标编制。</w:t>
      </w:r>
    </w:p>
    <w:p>
      <w:pPr>
        <w:pStyle w:val="10"/>
        <w:autoSpaceDE w:val="0"/>
        <w:ind w:firstLine="640"/>
        <w:rPr>
          <w:rFonts w:hint="eastAsia" w:ascii="楷体" w:hAnsi="楷体" w:eastAsia="楷体" w:cs="楷体"/>
          <w:b/>
          <w:bCs/>
          <w:sz w:val="32"/>
          <w:szCs w:val="32"/>
          <w:shd w:val="clear" w:color="auto" w:fill="FFFFFF"/>
          <w:lang w:bidi="ar"/>
        </w:rPr>
      </w:pPr>
      <w:r>
        <w:rPr>
          <w:rFonts w:hint="eastAsia" w:ascii="楷体" w:hAnsi="楷体" w:eastAsia="楷体" w:cs="楷体"/>
          <w:b/>
          <w:bCs/>
          <w:sz w:val="32"/>
          <w:szCs w:val="32"/>
          <w:shd w:val="clear" w:color="auto" w:fill="FFFFFF"/>
          <w:lang w:bidi="ar"/>
        </w:rPr>
        <w:t>（二）部门绩效评价情况</w:t>
      </w:r>
    </w:p>
    <w:p>
      <w:pPr>
        <w:pStyle w:val="5"/>
        <w:shd w:val="clear" w:color="auto" w:fill="FFFFFF"/>
        <w:ind w:firstLine="640" w:firstLineChars="200"/>
        <w:rPr>
          <w:rFonts w:hint="eastAsia" w:ascii="方正仿宋_GBK" w:hAnsi="方正仿宋_GBK" w:eastAsia="方正仿宋_GBK" w:cs="方正仿宋_GBK"/>
          <w:sz w:val="32"/>
          <w:szCs w:val="32"/>
          <w:shd w:val="clear" w:color="auto" w:fill="FFFFFF"/>
          <w:lang w:bidi="ar"/>
        </w:rPr>
      </w:pPr>
      <w:r>
        <w:rPr>
          <w:rFonts w:hint="eastAsia" w:ascii="方正仿宋_GBK" w:hAnsi="方正仿宋_GBK" w:eastAsia="方正仿宋_GBK" w:cs="方正仿宋_GBK"/>
          <w:sz w:val="32"/>
          <w:szCs w:val="32"/>
          <w:shd w:val="clear" w:color="auto" w:fill="FFFFFF"/>
          <w:lang w:bidi="ar"/>
        </w:rPr>
        <w:t>本单位本年度未开展整体绩效目标编制，主要由街道本级统一编制。</w:t>
      </w:r>
    </w:p>
    <w:p>
      <w:pPr>
        <w:pStyle w:val="5"/>
        <w:shd w:val="clear" w:color="auto" w:fill="FFFFFF"/>
        <w:rPr>
          <w:rStyle w:val="9"/>
          <w:rFonts w:hint="eastAsia" w:ascii="方正仿宋_GBK" w:hAnsi="方正仿宋_GBK" w:eastAsia="方正仿宋_GBK" w:cs="方正仿宋_GBK"/>
          <w:sz w:val="32"/>
          <w:szCs w:val="32"/>
          <w:shd w:val="clear" w:color="auto" w:fill="FFFFFF"/>
          <w:lang w:val="en-US" w:eastAsia="zh-CN"/>
        </w:rPr>
      </w:pPr>
      <w:r>
        <w:rPr>
          <w:rStyle w:val="9"/>
          <w:rFonts w:hint="eastAsia" w:ascii="方正仿宋_GBK" w:hAnsi="方正仿宋_GBK" w:eastAsia="方正仿宋_GBK" w:cs="方正仿宋_GBK"/>
          <w:sz w:val="32"/>
          <w:szCs w:val="32"/>
          <w:shd w:val="clear" w:color="auto" w:fill="FFFFFF"/>
          <w:lang w:val="en-US" w:eastAsia="zh-CN"/>
        </w:rPr>
        <w:t xml:space="preserve">  </w:t>
      </w:r>
      <w:r>
        <w:rPr>
          <w:rStyle w:val="9"/>
          <w:rFonts w:hint="eastAsia" w:ascii="黑体" w:hAnsi="黑体" w:eastAsia="黑体" w:cs="黑体"/>
          <w:sz w:val="32"/>
          <w:szCs w:val="32"/>
          <w:shd w:val="clear" w:color="auto" w:fill="FFFFFF"/>
          <w:lang w:val="en-US" w:eastAsia="zh-CN"/>
        </w:rPr>
        <w:t>六、专业名词解释</w:t>
      </w:r>
    </w:p>
    <w:p>
      <w:pPr>
        <w:pStyle w:val="5"/>
        <w:snapToGrid w:val="0"/>
        <w:spacing w:before="0" w:beforeAutospacing="0" w:after="0" w:afterAutospacing="0" w:line="600" w:lineRule="exact"/>
        <w:ind w:firstLine="640" w:firstLineChars="200"/>
        <w:jc w:val="both"/>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shd w:val="clear" w:color="auto" w:fill="FFFFFF"/>
        </w:rPr>
        <w:t>以下为常见专业名词解释目录，仅供参考，</w:t>
      </w:r>
    </w:p>
    <w:p>
      <w:pPr>
        <w:pStyle w:val="5"/>
        <w:snapToGrid w:val="0"/>
        <w:spacing w:before="0" w:beforeAutospacing="0" w:after="0" w:afterAutospacing="0" w:line="600" w:lineRule="exact"/>
        <w:ind w:firstLine="642" w:firstLineChars="200"/>
        <w:jc w:val="both"/>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kern w:val="0"/>
          <w:sz w:val="32"/>
          <w:szCs w:val="32"/>
          <w:shd w:val="clear" w:color="auto" w:fill="FFFFFF"/>
          <w:lang w:val="en-US" w:eastAsia="zh-CN" w:bidi="ar"/>
        </w:rPr>
        <w:t> </w:t>
      </w:r>
      <w:r>
        <w:rPr>
          <w:rFonts w:hint="eastAsia" w:ascii="楷体" w:hAnsi="楷体" w:eastAsia="楷体" w:cs="楷体"/>
          <w:b/>
          <w:bCs/>
          <w:kern w:val="0"/>
          <w:sz w:val="32"/>
          <w:szCs w:val="32"/>
          <w:shd w:val="clear" w:color="auto" w:fill="FFFFFF"/>
          <w:lang w:val="en-US" w:eastAsia="zh-CN" w:bidi="ar"/>
        </w:rPr>
        <w:t>（一）财政拨款收入：</w:t>
      </w:r>
      <w:r>
        <w:rPr>
          <w:rFonts w:hint="eastAsia" w:ascii="方正仿宋_GBK" w:hAnsi="方正仿宋_GBK" w:eastAsia="方正仿宋_GBK" w:cs="方正仿宋_GBK"/>
          <w:sz w:val="32"/>
          <w:szCs w:val="32"/>
          <w:shd w:val="clear" w:color="auto" w:fill="FFFFFF"/>
        </w:rPr>
        <w:t>指本年度从本级财政部门取得的财政拨款，包括一般公共预算财政拨款和政府性基金预算财政拨款。</w:t>
      </w:r>
    </w:p>
    <w:p>
      <w:pPr>
        <w:pStyle w:val="5"/>
        <w:snapToGrid w:val="0"/>
        <w:spacing w:before="0" w:beforeAutospacing="0" w:after="0" w:afterAutospacing="0" w:line="600" w:lineRule="exact"/>
        <w:ind w:firstLine="642" w:firstLineChars="200"/>
        <w:jc w:val="both"/>
        <w:rPr>
          <w:rFonts w:hint="eastAsia" w:ascii="方正仿宋_GBK" w:hAnsi="方正仿宋_GBK" w:eastAsia="方正仿宋_GBK" w:cs="方正仿宋_GBK"/>
          <w:sz w:val="32"/>
          <w:szCs w:val="32"/>
        </w:rPr>
      </w:pPr>
      <w:r>
        <w:rPr>
          <w:rStyle w:val="9"/>
          <w:rFonts w:hint="eastAsia" w:ascii="方正仿宋_GBK" w:hAnsi="方正仿宋_GBK" w:eastAsia="方正仿宋_GBK" w:cs="方正仿宋_GBK"/>
          <w:sz w:val="32"/>
          <w:szCs w:val="32"/>
          <w:shd w:val="clear" w:color="auto" w:fill="FFFFFF"/>
        </w:rPr>
        <w:t> </w:t>
      </w:r>
      <w:r>
        <w:rPr>
          <w:rStyle w:val="9"/>
          <w:rFonts w:hint="eastAsia" w:ascii="楷体" w:hAnsi="楷体" w:eastAsia="楷体" w:cs="楷体"/>
          <w:sz w:val="32"/>
          <w:szCs w:val="32"/>
          <w:shd w:val="clear" w:color="auto" w:fill="FFFFFF"/>
        </w:rPr>
        <w:t>（二）事业收入</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指事业单位开展专业业务活动及其辅助活动取得的现金流入；事业单位收到的财政专户实际核拨的教育收费等资金在此反映。</w:t>
      </w:r>
    </w:p>
    <w:p>
      <w:pPr>
        <w:pStyle w:val="5"/>
        <w:snapToGrid w:val="0"/>
        <w:spacing w:before="0" w:beforeAutospacing="0" w:after="0" w:afterAutospacing="0" w:line="600" w:lineRule="exact"/>
        <w:ind w:firstLine="642" w:firstLineChars="200"/>
        <w:jc w:val="both"/>
        <w:rPr>
          <w:rFonts w:hint="eastAsia" w:ascii="方正仿宋_GBK" w:hAnsi="方正仿宋_GBK" w:eastAsia="方正仿宋_GBK" w:cs="方正仿宋_GBK"/>
          <w:sz w:val="32"/>
          <w:szCs w:val="32"/>
        </w:rPr>
      </w:pPr>
      <w:r>
        <w:rPr>
          <w:rStyle w:val="9"/>
          <w:rFonts w:hint="eastAsia" w:ascii="方正仿宋_GBK" w:hAnsi="方正仿宋_GBK" w:eastAsia="方正仿宋_GBK" w:cs="方正仿宋_GBK"/>
          <w:sz w:val="32"/>
          <w:szCs w:val="32"/>
          <w:shd w:val="clear" w:color="auto" w:fill="FFFFFF"/>
        </w:rPr>
        <w:t> </w:t>
      </w:r>
      <w:r>
        <w:rPr>
          <w:rStyle w:val="9"/>
          <w:rFonts w:hint="eastAsia" w:ascii="楷体" w:hAnsi="楷体" w:eastAsia="楷体" w:cs="楷体"/>
          <w:sz w:val="32"/>
          <w:szCs w:val="32"/>
          <w:shd w:val="clear" w:color="auto" w:fill="FFFFFF"/>
        </w:rPr>
        <w:t>（三）经营收入</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指事业单位在专业业务活动及其辅助活动之外开展非独立核算经营活动取得的现金流入。</w:t>
      </w:r>
    </w:p>
    <w:p>
      <w:pPr>
        <w:pStyle w:val="5"/>
        <w:snapToGrid w:val="0"/>
        <w:spacing w:before="0" w:beforeAutospacing="0" w:after="0" w:afterAutospacing="0" w:line="600" w:lineRule="exact"/>
        <w:ind w:firstLine="642" w:firstLineChars="200"/>
        <w:jc w:val="both"/>
        <w:rPr>
          <w:rFonts w:hint="eastAsia" w:ascii="方正仿宋_GBK" w:hAnsi="方正仿宋_GBK" w:eastAsia="方正仿宋_GBK" w:cs="方正仿宋_GBK"/>
          <w:sz w:val="32"/>
          <w:szCs w:val="32"/>
        </w:rPr>
      </w:pPr>
      <w:r>
        <w:rPr>
          <w:rStyle w:val="9"/>
          <w:rFonts w:hint="eastAsia" w:ascii="方正仿宋_GBK" w:hAnsi="方正仿宋_GBK" w:eastAsia="方正仿宋_GBK" w:cs="方正仿宋_GBK"/>
          <w:sz w:val="32"/>
          <w:szCs w:val="32"/>
          <w:shd w:val="clear" w:color="auto" w:fill="FFFFFF"/>
        </w:rPr>
        <w:t> </w:t>
      </w:r>
      <w:r>
        <w:rPr>
          <w:rStyle w:val="9"/>
          <w:rFonts w:hint="eastAsia" w:ascii="楷体" w:hAnsi="楷体" w:eastAsia="楷体" w:cs="楷体"/>
          <w:sz w:val="32"/>
          <w:szCs w:val="32"/>
          <w:shd w:val="clear" w:color="auto" w:fill="FFFFFF"/>
        </w:rPr>
        <w:t>（四）其他收入</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指单位取得的除“财政拨款收入”、“事业收入”、“经营收入”等以外的收入，包括未纳入财政预算或财政专户管理的投资收益、银行存款利息收入、租金收入、捐赠收入，现金盘盈收入、存货盘盈收入、收回已核销的应收及预付款项、无法偿付的应付及预收款项等。各单位从本级财政部门以外的同级单位取得的经费、从非本级财政部门取得的经费，以及行政单位收到的财政专户管理资金反映在本项内。</w:t>
      </w:r>
    </w:p>
    <w:p>
      <w:pPr>
        <w:pStyle w:val="5"/>
        <w:snapToGrid w:val="0"/>
        <w:spacing w:before="0" w:beforeAutospacing="0" w:after="0" w:afterAutospacing="0" w:line="600" w:lineRule="exact"/>
        <w:ind w:firstLine="642" w:firstLineChars="200"/>
        <w:jc w:val="both"/>
        <w:rPr>
          <w:rFonts w:hint="eastAsia" w:ascii="方正仿宋_GBK" w:hAnsi="方正仿宋_GBK" w:eastAsia="方正仿宋_GBK" w:cs="方正仿宋_GBK"/>
          <w:sz w:val="32"/>
          <w:szCs w:val="32"/>
        </w:rPr>
      </w:pPr>
      <w:r>
        <w:rPr>
          <w:rStyle w:val="9"/>
          <w:rFonts w:hint="eastAsia" w:ascii="楷体" w:hAnsi="楷体" w:eastAsia="楷体" w:cs="楷体"/>
          <w:sz w:val="32"/>
          <w:szCs w:val="32"/>
          <w:shd w:val="clear" w:color="auto" w:fill="FFFFFF"/>
        </w:rPr>
        <w:t>（五）使用非财政拨款结余</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指单位在当年的“财政拨款收入”、“事业收入”、“经营收入”、“其他收入”等不足以安排当年支出的情况下，使用以前年度积累的非财政拨款结余弥补本年度收支缺口的资金。</w:t>
      </w:r>
    </w:p>
    <w:p>
      <w:pPr>
        <w:pStyle w:val="5"/>
        <w:snapToGrid w:val="0"/>
        <w:spacing w:before="0" w:beforeAutospacing="0" w:after="0" w:afterAutospacing="0" w:line="600" w:lineRule="exact"/>
        <w:ind w:firstLine="642" w:firstLineChars="200"/>
        <w:jc w:val="both"/>
        <w:rPr>
          <w:rFonts w:hint="eastAsia" w:ascii="方正仿宋_GBK" w:hAnsi="方正仿宋_GBK" w:eastAsia="方正仿宋_GBK" w:cs="方正仿宋_GBK"/>
          <w:sz w:val="32"/>
          <w:szCs w:val="32"/>
        </w:rPr>
      </w:pPr>
      <w:r>
        <w:rPr>
          <w:rStyle w:val="9"/>
          <w:rFonts w:hint="eastAsia" w:ascii="方正仿宋_GBK" w:hAnsi="方正仿宋_GBK" w:eastAsia="方正仿宋_GBK" w:cs="方正仿宋_GBK"/>
          <w:sz w:val="32"/>
          <w:szCs w:val="32"/>
          <w:shd w:val="clear" w:color="auto" w:fill="FFFFFF"/>
        </w:rPr>
        <w:t> </w:t>
      </w:r>
      <w:r>
        <w:rPr>
          <w:rStyle w:val="9"/>
          <w:rFonts w:hint="eastAsia" w:ascii="楷体" w:hAnsi="楷体" w:eastAsia="楷体" w:cs="楷体"/>
          <w:sz w:val="32"/>
          <w:szCs w:val="32"/>
          <w:shd w:val="clear" w:color="auto" w:fill="FFFFFF"/>
        </w:rPr>
        <w:t>（六）年初结转和结余</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指单位上年结转本年使用的基本支出结转、项目支出结转和结余、经营结余。</w:t>
      </w:r>
    </w:p>
    <w:p>
      <w:pPr>
        <w:pStyle w:val="5"/>
        <w:snapToGrid w:val="0"/>
        <w:spacing w:before="0" w:beforeAutospacing="0" w:after="0" w:afterAutospacing="0" w:line="600" w:lineRule="exact"/>
        <w:ind w:firstLine="642" w:firstLineChars="200"/>
        <w:jc w:val="both"/>
        <w:rPr>
          <w:rFonts w:hint="eastAsia" w:ascii="方正仿宋_GBK" w:hAnsi="方正仿宋_GBK" w:eastAsia="方正仿宋_GBK" w:cs="方正仿宋_GBK"/>
          <w:sz w:val="32"/>
          <w:szCs w:val="32"/>
        </w:rPr>
      </w:pPr>
      <w:r>
        <w:rPr>
          <w:rStyle w:val="9"/>
          <w:rFonts w:hint="eastAsia" w:ascii="方正仿宋_GBK" w:hAnsi="方正仿宋_GBK" w:eastAsia="方正仿宋_GBK" w:cs="方正仿宋_GBK"/>
          <w:sz w:val="32"/>
          <w:szCs w:val="32"/>
          <w:shd w:val="clear" w:color="auto" w:fill="FFFFFF"/>
        </w:rPr>
        <w:t> </w:t>
      </w:r>
      <w:r>
        <w:rPr>
          <w:rStyle w:val="9"/>
          <w:rFonts w:hint="eastAsia" w:ascii="楷体" w:hAnsi="楷体" w:eastAsia="楷体" w:cs="楷体"/>
          <w:sz w:val="32"/>
          <w:szCs w:val="32"/>
          <w:shd w:val="clear" w:color="auto" w:fill="FFFFFF"/>
        </w:rPr>
        <w:t>（七）结余分配</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指单位按照国家有关规定，缴纳所得税、提取专用基金、转入非财政拨款结余等当年结余的分配情况。</w:t>
      </w:r>
    </w:p>
    <w:p>
      <w:pPr>
        <w:pStyle w:val="5"/>
        <w:snapToGrid w:val="0"/>
        <w:spacing w:before="0" w:beforeAutospacing="0" w:after="0" w:afterAutospacing="0" w:line="600" w:lineRule="exact"/>
        <w:ind w:firstLine="642" w:firstLineChars="200"/>
        <w:jc w:val="both"/>
        <w:rPr>
          <w:rFonts w:hint="eastAsia" w:ascii="方正仿宋_GBK" w:hAnsi="方正仿宋_GBK" w:eastAsia="方正仿宋_GBK" w:cs="方正仿宋_GBK"/>
          <w:sz w:val="32"/>
          <w:szCs w:val="32"/>
        </w:rPr>
      </w:pPr>
      <w:r>
        <w:rPr>
          <w:rStyle w:val="9"/>
          <w:rFonts w:hint="eastAsia" w:ascii="方正仿宋_GBK" w:hAnsi="方正仿宋_GBK" w:eastAsia="方正仿宋_GBK" w:cs="方正仿宋_GBK"/>
          <w:sz w:val="32"/>
          <w:szCs w:val="32"/>
          <w:shd w:val="clear" w:color="auto" w:fill="FFFFFF"/>
        </w:rPr>
        <w:t> </w:t>
      </w:r>
      <w:r>
        <w:rPr>
          <w:rStyle w:val="9"/>
          <w:rFonts w:hint="eastAsia" w:ascii="楷体" w:hAnsi="楷体" w:eastAsia="楷体" w:cs="楷体"/>
          <w:sz w:val="32"/>
          <w:szCs w:val="32"/>
          <w:shd w:val="clear" w:color="auto" w:fill="FFFFFF"/>
        </w:rPr>
        <w:t>（八）年末结转和结余</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指单位结转下年的基本支出结转、项目支出结转和结余、经营结余。</w:t>
      </w:r>
    </w:p>
    <w:p>
      <w:pPr>
        <w:pStyle w:val="5"/>
        <w:snapToGrid w:val="0"/>
        <w:spacing w:before="0" w:beforeAutospacing="0" w:after="0" w:afterAutospacing="0" w:line="600" w:lineRule="exact"/>
        <w:ind w:firstLine="642" w:firstLineChars="200"/>
        <w:jc w:val="both"/>
        <w:rPr>
          <w:rFonts w:hint="eastAsia" w:ascii="方正仿宋_GBK" w:hAnsi="方正仿宋_GBK" w:eastAsia="方正仿宋_GBK" w:cs="方正仿宋_GBK"/>
          <w:sz w:val="32"/>
          <w:szCs w:val="32"/>
        </w:rPr>
      </w:pPr>
      <w:r>
        <w:rPr>
          <w:rStyle w:val="9"/>
          <w:rFonts w:hint="eastAsia" w:ascii="方正仿宋_GBK" w:hAnsi="方正仿宋_GBK" w:eastAsia="方正仿宋_GBK" w:cs="方正仿宋_GBK"/>
          <w:sz w:val="32"/>
          <w:szCs w:val="32"/>
          <w:shd w:val="clear" w:color="auto" w:fill="FFFFFF"/>
        </w:rPr>
        <w:t> </w:t>
      </w:r>
      <w:r>
        <w:rPr>
          <w:rStyle w:val="9"/>
          <w:rFonts w:hint="eastAsia" w:ascii="楷体" w:hAnsi="楷体" w:eastAsia="楷体" w:cs="楷体"/>
          <w:sz w:val="32"/>
          <w:szCs w:val="32"/>
          <w:shd w:val="clear" w:color="auto" w:fill="FFFFFF"/>
        </w:rPr>
        <w:t>（九）基本支出</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pPr>
        <w:pStyle w:val="5"/>
        <w:snapToGrid w:val="0"/>
        <w:spacing w:before="0" w:beforeAutospacing="0" w:after="0" w:afterAutospacing="0" w:line="600" w:lineRule="exact"/>
        <w:ind w:firstLine="642" w:firstLineChars="200"/>
        <w:jc w:val="both"/>
        <w:rPr>
          <w:rFonts w:hint="eastAsia" w:ascii="方正仿宋_GBK" w:hAnsi="方正仿宋_GBK" w:eastAsia="方正仿宋_GBK" w:cs="方正仿宋_GBK"/>
          <w:sz w:val="32"/>
          <w:szCs w:val="32"/>
        </w:rPr>
      </w:pPr>
      <w:r>
        <w:rPr>
          <w:rStyle w:val="9"/>
          <w:rFonts w:hint="eastAsia" w:ascii="方正仿宋_GBK" w:hAnsi="方正仿宋_GBK" w:eastAsia="方正仿宋_GBK" w:cs="方正仿宋_GBK"/>
          <w:sz w:val="32"/>
          <w:szCs w:val="32"/>
          <w:shd w:val="clear" w:color="auto" w:fill="FFFFFF"/>
        </w:rPr>
        <w:t> </w:t>
      </w:r>
      <w:r>
        <w:rPr>
          <w:rStyle w:val="9"/>
          <w:rFonts w:hint="eastAsia" w:ascii="楷体" w:hAnsi="楷体" w:eastAsia="楷体" w:cs="楷体"/>
          <w:sz w:val="32"/>
          <w:szCs w:val="32"/>
          <w:shd w:val="clear" w:color="auto" w:fill="FFFFFF"/>
        </w:rPr>
        <w:t>（十）项目支出</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指在基本支出之外为完成特定行政任务和事业发展目标所发生的支出。</w:t>
      </w:r>
    </w:p>
    <w:p>
      <w:pPr>
        <w:pStyle w:val="5"/>
        <w:snapToGrid w:val="0"/>
        <w:spacing w:before="0" w:beforeAutospacing="0" w:after="0" w:afterAutospacing="0" w:line="600" w:lineRule="exact"/>
        <w:ind w:firstLine="642" w:firstLineChars="200"/>
        <w:jc w:val="both"/>
        <w:rPr>
          <w:rFonts w:hint="eastAsia" w:ascii="方正仿宋_GBK" w:hAnsi="方正仿宋_GBK" w:eastAsia="方正仿宋_GBK" w:cs="方正仿宋_GBK"/>
          <w:sz w:val="32"/>
          <w:szCs w:val="32"/>
        </w:rPr>
      </w:pPr>
      <w:r>
        <w:rPr>
          <w:rStyle w:val="9"/>
          <w:rFonts w:hint="eastAsia" w:ascii="方正仿宋_GBK" w:hAnsi="方正仿宋_GBK" w:eastAsia="方正仿宋_GBK" w:cs="方正仿宋_GBK"/>
          <w:sz w:val="32"/>
          <w:szCs w:val="32"/>
          <w:shd w:val="clear" w:color="auto" w:fill="FFFFFF"/>
        </w:rPr>
        <w:t> </w:t>
      </w:r>
      <w:r>
        <w:rPr>
          <w:rStyle w:val="9"/>
          <w:rFonts w:hint="eastAsia" w:ascii="楷体" w:hAnsi="楷体" w:eastAsia="楷体" w:cs="楷体"/>
          <w:sz w:val="32"/>
          <w:szCs w:val="32"/>
          <w:shd w:val="clear" w:color="auto" w:fill="FFFFFF"/>
        </w:rPr>
        <w:t>（十一）经营支出</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指事业单位在专业业务活动及其辅助活动之外开展非独立核算经营活动发生的支出。</w:t>
      </w:r>
    </w:p>
    <w:p>
      <w:pPr>
        <w:pStyle w:val="5"/>
        <w:snapToGrid w:val="0"/>
        <w:spacing w:before="0" w:beforeAutospacing="0" w:after="0" w:afterAutospacing="0" w:line="600" w:lineRule="exact"/>
        <w:ind w:firstLine="642" w:firstLineChars="200"/>
        <w:jc w:val="both"/>
        <w:rPr>
          <w:rFonts w:hint="eastAsia" w:ascii="方正仿宋_GBK" w:hAnsi="方正仿宋_GBK" w:eastAsia="方正仿宋_GBK" w:cs="方正仿宋_GBK"/>
          <w:sz w:val="32"/>
          <w:szCs w:val="32"/>
        </w:rPr>
      </w:pPr>
      <w:r>
        <w:rPr>
          <w:rStyle w:val="9"/>
          <w:rFonts w:hint="eastAsia" w:ascii="方正仿宋_GBK" w:hAnsi="方正仿宋_GBK" w:eastAsia="方正仿宋_GBK" w:cs="方正仿宋_GBK"/>
          <w:sz w:val="32"/>
          <w:szCs w:val="32"/>
          <w:shd w:val="clear" w:color="auto" w:fill="FFFFFF"/>
        </w:rPr>
        <w:t> </w:t>
      </w:r>
      <w:r>
        <w:rPr>
          <w:rStyle w:val="9"/>
          <w:rFonts w:hint="eastAsia" w:ascii="楷体" w:hAnsi="楷体" w:eastAsia="楷体" w:cs="楷体"/>
          <w:sz w:val="32"/>
          <w:szCs w:val="32"/>
          <w:shd w:val="clear" w:color="auto" w:fill="FFFFFF"/>
        </w:rPr>
        <w:t>（十二）“三公”经费</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pPr>
        <w:pStyle w:val="5"/>
        <w:snapToGrid w:val="0"/>
        <w:spacing w:before="0" w:beforeAutospacing="0" w:after="0" w:afterAutospacing="0" w:line="600" w:lineRule="exact"/>
        <w:ind w:firstLine="642" w:firstLineChars="200"/>
        <w:jc w:val="both"/>
        <w:rPr>
          <w:rFonts w:hint="eastAsia" w:ascii="方正仿宋_GBK" w:hAnsi="方正仿宋_GBK" w:eastAsia="方正仿宋_GBK" w:cs="方正仿宋_GBK"/>
          <w:sz w:val="32"/>
          <w:szCs w:val="32"/>
        </w:rPr>
      </w:pPr>
      <w:r>
        <w:rPr>
          <w:rStyle w:val="9"/>
          <w:rFonts w:hint="eastAsia" w:ascii="方正仿宋_GBK" w:hAnsi="方正仿宋_GBK" w:eastAsia="方正仿宋_GBK" w:cs="方正仿宋_GBK"/>
          <w:sz w:val="32"/>
          <w:szCs w:val="32"/>
          <w:shd w:val="clear" w:color="auto" w:fill="FFFFFF"/>
        </w:rPr>
        <w:t> </w:t>
      </w:r>
      <w:r>
        <w:rPr>
          <w:rStyle w:val="9"/>
          <w:rFonts w:hint="eastAsia" w:ascii="楷体" w:hAnsi="楷体" w:eastAsia="楷体" w:cs="楷体"/>
          <w:sz w:val="32"/>
          <w:szCs w:val="32"/>
          <w:shd w:val="clear" w:color="auto" w:fill="FFFFFF"/>
        </w:rPr>
        <w:t>（十三）机关运行经费</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为保障行政单位（含参照公务员法管理的事业单位）运行用于购买货物和服务等的各项公用经费，包括办公及印刷费、邮电费、差旅费、会议费、福利费、日常维护费、专用材料及一般设备购置费、办公用房水电费、办公用房取暖费、办公用房物业管理费、公务用车运行维护费以及其他费用。</w:t>
      </w:r>
    </w:p>
    <w:p>
      <w:pPr>
        <w:pStyle w:val="5"/>
        <w:snapToGrid w:val="0"/>
        <w:spacing w:before="0" w:beforeAutospacing="0" w:after="0" w:afterAutospacing="0" w:line="600" w:lineRule="exact"/>
        <w:ind w:firstLine="642" w:firstLineChars="200"/>
        <w:jc w:val="both"/>
        <w:rPr>
          <w:rFonts w:hint="eastAsia" w:ascii="方正仿宋_GBK" w:hAnsi="方正仿宋_GBK" w:eastAsia="方正仿宋_GBK" w:cs="方正仿宋_GBK"/>
          <w:sz w:val="32"/>
          <w:szCs w:val="32"/>
        </w:rPr>
      </w:pPr>
      <w:r>
        <w:rPr>
          <w:rStyle w:val="9"/>
          <w:rFonts w:hint="eastAsia" w:ascii="方正仿宋_GBK" w:hAnsi="方正仿宋_GBK" w:eastAsia="方正仿宋_GBK" w:cs="方正仿宋_GBK"/>
          <w:sz w:val="32"/>
          <w:szCs w:val="32"/>
          <w:shd w:val="clear" w:color="auto" w:fill="FFFFFF"/>
        </w:rPr>
        <w:t> </w:t>
      </w:r>
      <w:r>
        <w:rPr>
          <w:rStyle w:val="9"/>
          <w:rFonts w:hint="eastAsia" w:ascii="楷体" w:hAnsi="楷体" w:eastAsia="楷体" w:cs="楷体"/>
          <w:sz w:val="32"/>
          <w:szCs w:val="32"/>
          <w:shd w:val="clear" w:color="auto" w:fill="FFFFFF"/>
        </w:rPr>
        <w:t>（十四）工资福利支出（支出经济分类科目类级）</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反映单位开支的在职职工和编制外长期聘用人员的各类劳动报酬，以及为上述人员缴纳的各项社会保险费等。</w:t>
      </w:r>
    </w:p>
    <w:p>
      <w:pPr>
        <w:pStyle w:val="5"/>
        <w:snapToGrid w:val="0"/>
        <w:spacing w:before="0" w:beforeAutospacing="0" w:after="0" w:afterAutospacing="0" w:line="600" w:lineRule="exact"/>
        <w:ind w:firstLine="642" w:firstLineChars="200"/>
        <w:jc w:val="both"/>
        <w:rPr>
          <w:rFonts w:hint="eastAsia" w:ascii="方正仿宋_GBK" w:hAnsi="方正仿宋_GBK" w:eastAsia="方正仿宋_GBK" w:cs="方正仿宋_GBK"/>
          <w:sz w:val="32"/>
          <w:szCs w:val="32"/>
        </w:rPr>
      </w:pPr>
      <w:r>
        <w:rPr>
          <w:rStyle w:val="9"/>
          <w:rFonts w:hint="eastAsia" w:ascii="方正仿宋_GBK" w:hAnsi="方正仿宋_GBK" w:eastAsia="方正仿宋_GBK" w:cs="方正仿宋_GBK"/>
          <w:sz w:val="32"/>
          <w:szCs w:val="32"/>
          <w:shd w:val="clear" w:color="auto" w:fill="FFFFFF"/>
        </w:rPr>
        <w:t> </w:t>
      </w:r>
      <w:r>
        <w:rPr>
          <w:rStyle w:val="9"/>
          <w:rFonts w:hint="eastAsia" w:ascii="楷体" w:hAnsi="楷体" w:eastAsia="楷体" w:cs="楷体"/>
          <w:sz w:val="32"/>
          <w:szCs w:val="32"/>
          <w:shd w:val="clear" w:color="auto" w:fill="FFFFFF"/>
        </w:rPr>
        <w:t>（十五）商品和服务支出（支出经济分类科目类级）</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反映单位购买商品和服务的支出（不包括用于购置固定资产的支出、战略性和应急储备支出）。</w:t>
      </w:r>
    </w:p>
    <w:p>
      <w:pPr>
        <w:pStyle w:val="5"/>
        <w:snapToGrid w:val="0"/>
        <w:spacing w:before="0" w:beforeAutospacing="0" w:after="0" w:afterAutospacing="0" w:line="600" w:lineRule="exact"/>
        <w:ind w:firstLine="642" w:firstLineChars="200"/>
        <w:jc w:val="both"/>
        <w:rPr>
          <w:rFonts w:hint="eastAsia" w:ascii="方正仿宋_GBK" w:hAnsi="方正仿宋_GBK" w:eastAsia="方正仿宋_GBK" w:cs="方正仿宋_GBK"/>
          <w:sz w:val="32"/>
          <w:szCs w:val="32"/>
        </w:rPr>
      </w:pPr>
      <w:r>
        <w:rPr>
          <w:rStyle w:val="9"/>
          <w:rFonts w:hint="eastAsia" w:ascii="楷体" w:hAnsi="楷体" w:eastAsia="楷体" w:cs="楷体"/>
          <w:sz w:val="32"/>
          <w:szCs w:val="32"/>
          <w:shd w:val="clear" w:color="auto" w:fill="FFFFFF"/>
        </w:rPr>
        <w:t> （十六）对个人和家庭的补助（支出经济分类科目类级）</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反映用于对个人和家庭的补助支出。</w:t>
      </w:r>
    </w:p>
    <w:p>
      <w:pPr>
        <w:pStyle w:val="5"/>
        <w:snapToGrid w:val="0"/>
        <w:spacing w:before="0" w:beforeAutospacing="0" w:after="0" w:afterAutospacing="0" w:line="600" w:lineRule="exact"/>
        <w:ind w:firstLine="642" w:firstLineChars="200"/>
        <w:jc w:val="both"/>
        <w:rPr>
          <w:rFonts w:hint="eastAsia" w:ascii="方正仿宋_GBK" w:hAnsi="方正仿宋_GBK" w:eastAsia="方正仿宋_GBK" w:cs="方正仿宋_GBK"/>
          <w:sz w:val="32"/>
          <w:szCs w:val="32"/>
        </w:rPr>
      </w:pPr>
      <w:r>
        <w:rPr>
          <w:rStyle w:val="9"/>
          <w:rFonts w:hint="eastAsia" w:ascii="方正仿宋_GBK" w:hAnsi="方正仿宋_GBK" w:eastAsia="方正仿宋_GBK" w:cs="方正仿宋_GBK"/>
          <w:sz w:val="32"/>
          <w:szCs w:val="32"/>
          <w:shd w:val="clear" w:color="auto" w:fill="FFFFFF"/>
        </w:rPr>
        <w:t> </w:t>
      </w:r>
      <w:r>
        <w:rPr>
          <w:rStyle w:val="9"/>
          <w:rFonts w:hint="eastAsia" w:ascii="楷体" w:hAnsi="楷体" w:eastAsia="楷体" w:cs="楷体"/>
          <w:sz w:val="32"/>
          <w:szCs w:val="32"/>
          <w:shd w:val="clear" w:color="auto" w:fill="FFFFFF"/>
        </w:rPr>
        <w:t>（十七）其他资本性支出（支出经济分类科目类级）</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反映非各级发展与改革部门集中安排的用于购置固定资产、战略性和应急性储备、土地和无形资产，以及构建基础设施、大型修缮和财政支持企业更新改造所发生的支出。</w:t>
      </w:r>
    </w:p>
    <w:p>
      <w:pPr>
        <w:pStyle w:val="5"/>
        <w:shd w:val="clear" w:color="auto" w:fill="FFFFFF"/>
        <w:rPr>
          <w:rStyle w:val="9"/>
          <w:rFonts w:hint="eastAsia" w:ascii="方正仿宋_GBK" w:hAnsi="方正仿宋_GBK" w:eastAsia="方正仿宋_GBK" w:cs="方正仿宋_GBK"/>
          <w:sz w:val="32"/>
          <w:szCs w:val="32"/>
          <w:shd w:val="clear" w:color="auto" w:fill="FFFFFF"/>
          <w:lang w:val="en-US" w:eastAsia="zh-CN"/>
        </w:rPr>
      </w:pPr>
      <w:r>
        <w:rPr>
          <w:rStyle w:val="9"/>
          <w:rFonts w:hint="eastAsia" w:ascii="方正仿宋_GBK" w:hAnsi="方正仿宋_GBK" w:eastAsia="方正仿宋_GBK" w:cs="方正仿宋_GBK"/>
          <w:sz w:val="32"/>
          <w:szCs w:val="32"/>
          <w:shd w:val="clear" w:color="auto" w:fill="FFFFFF"/>
          <w:lang w:val="en-US" w:eastAsia="zh-CN"/>
        </w:rPr>
        <w:t xml:space="preserve">  </w:t>
      </w:r>
      <w:r>
        <w:rPr>
          <w:rStyle w:val="9"/>
          <w:rFonts w:hint="eastAsia" w:ascii="黑体" w:hAnsi="黑体" w:eastAsia="黑体" w:cs="黑体"/>
          <w:sz w:val="32"/>
          <w:szCs w:val="32"/>
          <w:shd w:val="clear" w:color="auto" w:fill="FFFFFF"/>
          <w:lang w:val="en-US" w:eastAsia="zh-CN"/>
        </w:rPr>
        <w:t>七、决算公开联系方式及信息反馈渠道</w:t>
      </w:r>
    </w:p>
    <w:p>
      <w:pPr>
        <w:pStyle w:val="10"/>
        <w:autoSpaceDE w:val="0"/>
        <w:ind w:firstLine="640" w:firstLineChars="200"/>
        <w:rPr>
          <w:rStyle w:val="9"/>
          <w:rFonts w:hint="eastAsia" w:ascii="方正仿宋_GBK" w:hAnsi="方正仿宋_GBK" w:eastAsia="方正仿宋_GBK" w:cs="方正仿宋_GBK"/>
          <w:color w:val="FF0000"/>
          <w:sz w:val="32"/>
          <w:szCs w:val="32"/>
          <w:shd w:val="clear" w:color="auto" w:fill="FFFFFF"/>
          <w:lang w:eastAsia="zh-CN"/>
        </w:rPr>
      </w:pPr>
      <w:r>
        <w:rPr>
          <w:rFonts w:hint="eastAsia" w:ascii="方正仿宋_GBK" w:hAnsi="方正仿宋_GBK" w:eastAsia="方正仿宋_GBK" w:cs="方正仿宋_GBK"/>
          <w:sz w:val="32"/>
          <w:szCs w:val="32"/>
          <w:shd w:val="clear" w:color="auto" w:fill="FFFFFF"/>
        </w:rPr>
        <w:t>本单位决算公开信息反馈</w:t>
      </w:r>
      <w:r>
        <w:rPr>
          <w:rFonts w:hint="eastAsia" w:ascii="方正仿宋_GBK" w:hAnsi="方正仿宋_GBK" w:eastAsia="方正仿宋_GBK" w:cs="方正仿宋_GBK"/>
          <w:color w:val="auto"/>
          <w:sz w:val="32"/>
          <w:szCs w:val="32"/>
          <w:shd w:val="clear" w:color="auto" w:fill="FFFFFF"/>
        </w:rPr>
        <w:t>和联系方式：023-79235228</w:t>
      </w:r>
      <w:r>
        <w:rPr>
          <w:rFonts w:hint="eastAsia" w:ascii="方正仿宋_GBK" w:hAnsi="方正仿宋_GBK" w:eastAsia="方正仿宋_GBK" w:cs="方正仿宋_GBK"/>
          <w:color w:val="auto"/>
          <w:sz w:val="32"/>
          <w:szCs w:val="32"/>
          <w:shd w:val="clear" w:color="auto" w:fill="FFFFFF"/>
          <w:lang w:eastAsia="zh-CN"/>
        </w:rPr>
        <w:t>。</w:t>
      </w:r>
    </w:p>
    <w:p>
      <w:pPr>
        <w:pStyle w:val="10"/>
        <w:autoSpaceDE w:val="0"/>
        <w:ind w:firstLine="0" w:firstLineChars="0"/>
        <w:rPr>
          <w:rStyle w:val="9"/>
          <w:rFonts w:ascii="方正仿宋_GBK" w:hAnsi="方正仿宋_GBK" w:eastAsia="方正仿宋_GBK" w:cs="方正仿宋_GBK"/>
          <w:sz w:val="32"/>
          <w:szCs w:val="32"/>
          <w:shd w:val="clear" w:color="auto" w:fill="FFFF00"/>
        </w:rPr>
      </w:pPr>
    </w:p>
    <w:p>
      <w:pPr>
        <w:pStyle w:val="10"/>
        <w:autoSpaceDE w:val="0"/>
        <w:ind w:firstLine="0" w:firstLineChars="0"/>
        <w:rPr>
          <w:rStyle w:val="9"/>
          <w:rFonts w:ascii="方正仿宋_GBK" w:hAnsi="方正仿宋_GBK" w:eastAsia="方正仿宋_GBK" w:cs="方正仿宋_GBK"/>
          <w:sz w:val="32"/>
          <w:szCs w:val="32"/>
          <w:shd w:val="clear" w:color="auto" w:fill="FFFF00"/>
        </w:rPr>
      </w:pPr>
    </w:p>
    <w:p>
      <w:pPr>
        <w:pStyle w:val="10"/>
        <w:autoSpaceDE w:val="0"/>
        <w:ind w:firstLine="0" w:firstLineChars="0"/>
        <w:rPr>
          <w:rStyle w:val="9"/>
          <w:rFonts w:hint="eastAsia" w:ascii="方正仿宋_GBK" w:hAnsi="方正仿宋_GBK" w:eastAsia="方正仿宋_GBK" w:cs="方正仿宋_GBK"/>
          <w:sz w:val="32"/>
          <w:szCs w:val="32"/>
          <w:shd w:val="clear" w:color="auto" w:fill="FFFF00"/>
        </w:rPr>
        <w:sectPr>
          <w:footerReference r:id="rId3" w:type="default"/>
          <w:pgSz w:w="11915" w:h="16840"/>
          <w:pgMar w:top="1440" w:right="1800" w:bottom="1440" w:left="1800" w:header="851" w:footer="992" w:gutter="0"/>
          <w:pgNumType w:fmt="numberInDash"/>
          <w:cols w:space="720" w:num="1"/>
          <w:docGrid w:type="lines" w:linePitch="312" w:charSpace="0"/>
        </w:sectPr>
      </w:pPr>
    </w:p>
    <w:p>
      <w:pPr>
        <w:rPr>
          <w:rFonts w:hint="eastAsia" w:ascii="宋体" w:hAnsi="宋体" w:eastAsia="宋体" w:cs="宋体"/>
          <w:sz w:val="21"/>
          <w:szCs w:val="21"/>
        </w:rPr>
      </w:pPr>
    </w:p>
    <w:tbl>
      <w:tblPr>
        <w:tblStyle w:val="6"/>
        <w:tblW w:w="22292" w:type="dxa"/>
        <w:tblInd w:w="0" w:type="dxa"/>
        <w:shd w:val="clear" w:color="auto" w:fill="auto"/>
        <w:tblLayout w:type="fixed"/>
        <w:tblCellMar>
          <w:top w:w="0" w:type="dxa"/>
          <w:left w:w="0" w:type="dxa"/>
          <w:bottom w:w="0" w:type="dxa"/>
          <w:right w:w="0" w:type="dxa"/>
        </w:tblCellMar>
      </w:tblPr>
      <w:tblGrid>
        <w:gridCol w:w="6581"/>
        <w:gridCol w:w="4358"/>
        <w:gridCol w:w="7536"/>
        <w:gridCol w:w="3817"/>
      </w:tblGrid>
      <w:tr>
        <w:tblPrEx>
          <w:shd w:val="clear" w:color="auto" w:fill="auto"/>
          <w:tblCellMar>
            <w:top w:w="0" w:type="dxa"/>
            <w:left w:w="0" w:type="dxa"/>
            <w:bottom w:w="0" w:type="dxa"/>
            <w:right w:w="0" w:type="dxa"/>
          </w:tblCellMar>
        </w:tblPrEx>
        <w:trPr>
          <w:trHeight w:val="565" w:hRule="atLeast"/>
        </w:trPr>
        <w:tc>
          <w:tcPr>
            <w:tcW w:w="22292" w:type="dxa"/>
            <w:gridSpan w:val="4"/>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4"/>
                <w:szCs w:val="44"/>
                <w:u w:val="none"/>
                <w:lang w:val="en-US" w:eastAsia="zh-CN" w:bidi="ar"/>
              </w:rPr>
              <w:t>收入支出决算总表</w:t>
            </w:r>
          </w:p>
        </w:tc>
      </w:tr>
      <w:tr>
        <w:tblPrEx>
          <w:shd w:val="clear" w:color="auto" w:fill="auto"/>
          <w:tblCellMar>
            <w:top w:w="0" w:type="dxa"/>
            <w:left w:w="0" w:type="dxa"/>
            <w:bottom w:w="0" w:type="dxa"/>
            <w:right w:w="0" w:type="dxa"/>
          </w:tblCellMar>
        </w:tblPrEx>
        <w:trPr>
          <w:trHeight w:val="289" w:hRule="atLeast"/>
        </w:trPr>
        <w:tc>
          <w:tcPr>
            <w:tcW w:w="6581"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4358" w:type="dxa"/>
            <w:tcBorders>
              <w:top w:val="nil"/>
              <w:left w:val="nil"/>
              <w:bottom w:val="nil"/>
              <w:right w:val="nil"/>
            </w:tcBorders>
            <w:shd w:val="clear" w:color="auto" w:fill="auto"/>
            <w:noWrap/>
            <w:tcMar>
              <w:top w:w="15" w:type="dxa"/>
              <w:left w:w="15" w:type="dxa"/>
              <w:right w:w="15" w:type="dxa"/>
            </w:tcMar>
            <w:vAlign w:val="bottom"/>
          </w:tcPr>
          <w:p>
            <w:pPr>
              <w:jc w:val="right"/>
              <w:rPr>
                <w:rFonts w:hint="default" w:ascii="Arial" w:hAnsi="Arial" w:eastAsia="宋体" w:cs="Arial"/>
                <w:i w:val="0"/>
                <w:color w:val="000000"/>
                <w:sz w:val="20"/>
                <w:szCs w:val="20"/>
                <w:u w:val="none"/>
              </w:rPr>
            </w:pPr>
          </w:p>
        </w:tc>
        <w:tc>
          <w:tcPr>
            <w:tcW w:w="7536"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3817" w:type="dxa"/>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公开01表</w:t>
            </w:r>
          </w:p>
        </w:tc>
      </w:tr>
      <w:tr>
        <w:tblPrEx>
          <w:shd w:val="clear" w:color="auto" w:fill="auto"/>
          <w:tblCellMar>
            <w:top w:w="0" w:type="dxa"/>
            <w:left w:w="0" w:type="dxa"/>
            <w:bottom w:w="0" w:type="dxa"/>
            <w:right w:w="0" w:type="dxa"/>
          </w:tblCellMar>
        </w:tblPrEx>
        <w:trPr>
          <w:trHeight w:val="289" w:hRule="atLeast"/>
        </w:trPr>
        <w:tc>
          <w:tcPr>
            <w:tcW w:w="6581" w:type="dxa"/>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4"/>
                <w:szCs w:val="24"/>
                <w:u w:val="none"/>
              </w:rPr>
            </w:pPr>
            <w:r>
              <w:rPr>
                <w:rFonts w:hint="eastAsia" w:cs="宋体"/>
                <w:sz w:val="24"/>
                <w:szCs w:val="24"/>
                <w:lang w:eastAsia="zh-CN"/>
              </w:rPr>
              <w:t>公开单位</w:t>
            </w:r>
            <w:r>
              <w:rPr>
                <w:rFonts w:hint="eastAsia" w:ascii="宋体" w:hAnsi="宋体" w:eastAsia="宋体" w:cs="宋体"/>
                <w:sz w:val="24"/>
                <w:szCs w:val="24"/>
              </w:rPr>
              <w:t>：</w:t>
            </w:r>
            <w:r>
              <w:rPr>
                <w:rFonts w:ascii="宋体" w:hAnsi="宋体" w:eastAsia="宋体" w:cs="宋体"/>
                <w:sz w:val="24"/>
                <w:u w:color="auto"/>
              </w:rPr>
              <w:t>重庆市黔江区城东街道办事处退役军人服务站</w:t>
            </w:r>
          </w:p>
        </w:tc>
        <w:tc>
          <w:tcPr>
            <w:tcW w:w="4358" w:type="dxa"/>
            <w:tcBorders>
              <w:top w:val="nil"/>
              <w:left w:val="nil"/>
              <w:bottom w:val="nil"/>
              <w:right w:val="nil"/>
            </w:tcBorders>
            <w:shd w:val="clear" w:color="auto" w:fill="auto"/>
            <w:noWrap/>
            <w:tcMar>
              <w:top w:w="15" w:type="dxa"/>
              <w:left w:w="15" w:type="dxa"/>
              <w:right w:w="15" w:type="dxa"/>
            </w:tcMar>
            <w:vAlign w:val="bottom"/>
          </w:tcPr>
          <w:p>
            <w:pPr>
              <w:jc w:val="right"/>
              <w:rPr>
                <w:rFonts w:hint="default" w:ascii="Arial" w:hAnsi="Arial" w:eastAsia="宋体" w:cs="Arial"/>
                <w:i w:val="0"/>
                <w:color w:val="000000"/>
                <w:sz w:val="22"/>
                <w:szCs w:val="22"/>
                <w:u w:val="none"/>
              </w:rPr>
            </w:pPr>
          </w:p>
        </w:tc>
        <w:tc>
          <w:tcPr>
            <w:tcW w:w="7536"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3817" w:type="dxa"/>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r>
              <w:rPr>
                <w:rFonts w:hint="eastAsia" w:ascii="宋体" w:hAnsi="宋体" w:eastAsia="宋体" w:cs="宋体"/>
                <w:sz w:val="24"/>
                <w:szCs w:val="24"/>
              </w:rPr>
              <w:t>万元</w:t>
            </w:r>
          </w:p>
        </w:tc>
      </w:tr>
      <w:tr>
        <w:tblPrEx>
          <w:shd w:val="clear" w:color="auto" w:fill="auto"/>
          <w:tblCellMar>
            <w:top w:w="0" w:type="dxa"/>
            <w:left w:w="0" w:type="dxa"/>
            <w:bottom w:w="0" w:type="dxa"/>
            <w:right w:w="0" w:type="dxa"/>
          </w:tblCellMar>
        </w:tblPrEx>
        <w:trPr>
          <w:trHeight w:val="298" w:hRule="atLeast"/>
        </w:trPr>
        <w:tc>
          <w:tcPr>
            <w:tcW w:w="10939" w:type="dxa"/>
            <w:gridSpan w:val="2"/>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收入</w:t>
            </w:r>
          </w:p>
        </w:tc>
        <w:tc>
          <w:tcPr>
            <w:tcW w:w="11353" w:type="dxa"/>
            <w:gridSpan w:val="2"/>
            <w:tcBorders>
              <w:top w:val="single" w:color="000000" w:sz="4" w:space="0"/>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支出</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w:t>
            </w:r>
          </w:p>
        </w:tc>
        <w:tc>
          <w:tcPr>
            <w:tcW w:w="4358"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决算数</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lang w:eastAsia="zh-CN"/>
              </w:rPr>
            </w:pPr>
            <w:r>
              <w:rPr>
                <w:rFonts w:hint="eastAsia" w:cs="宋体"/>
                <w:b/>
                <w:i w:val="0"/>
                <w:color w:val="000000"/>
                <w:sz w:val="22"/>
                <w:szCs w:val="22"/>
                <w:u w:val="none"/>
                <w:lang w:eastAsia="zh-CN"/>
              </w:rPr>
              <w:t>功能分类科目</w:t>
            </w:r>
          </w:p>
        </w:tc>
        <w:tc>
          <w:tcPr>
            <w:tcW w:w="3817"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决算数</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一、一般公共预算财政拨款收入</w:t>
            </w: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54.44</w:t>
            </w: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一、一般公共服务支出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二、政府性基金预算财政拨款收入</w:t>
            </w: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二、外交支出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三、国有资本经营预算财政拨款收入</w:t>
            </w: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三、国防支出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四、上级补助收入</w:t>
            </w: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四、公共安全支出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五、事业收入</w:t>
            </w: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五、教育支出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六、经营收入</w:t>
            </w: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六、科学技术支出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七、附属单位上缴收入</w:t>
            </w: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七、文化旅游体育与传媒支出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八、其他收入</w:t>
            </w:r>
          </w:p>
        </w:tc>
        <w:tc>
          <w:tcPr>
            <w:tcW w:w="4358" w:type="dxa"/>
            <w:tcBorders>
              <w:top w:val="nil"/>
              <w:left w:val="nil"/>
              <w:bottom w:val="nil"/>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八、社会保障和就业支出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ascii="宋体" w:hAnsi="宋体" w:eastAsia="宋体" w:cs="宋体"/>
                <w:b w:val="0"/>
                <w:bCs w:val="0"/>
                <w:color w:val="000000"/>
                <w:sz w:val="21"/>
                <w:szCs w:val="21"/>
                <w:lang w:bidi="ar"/>
              </w:rPr>
              <w:t>48.65</w:t>
            </w:r>
            <w:r>
              <w:rPr>
                <w:rFonts w:hint="eastAsia" w:cs="宋体"/>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3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jc w:val="right"/>
              <w:rPr>
                <w:rFonts w:hint="default" w:ascii="Arial" w:hAnsi="Arial" w:eastAsia="宋体" w:cs="Arial"/>
                <w:i w:val="0"/>
                <w:color w:val="000000"/>
                <w:sz w:val="20"/>
                <w:szCs w:val="20"/>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九、卫生健康支出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ascii="宋体" w:hAnsi="宋体" w:eastAsia="宋体" w:cs="宋体"/>
                <w:b w:val="0"/>
                <w:bCs w:val="0"/>
                <w:color w:val="000000"/>
                <w:sz w:val="21"/>
                <w:szCs w:val="21"/>
                <w:lang w:bidi="ar"/>
              </w:rPr>
              <w:t>2.96</w:t>
            </w:r>
            <w:r>
              <w:rPr>
                <w:rFonts w:hint="eastAsia" w:cs="宋体"/>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3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jc w:val="right"/>
              <w:rPr>
                <w:rFonts w:hint="default" w:ascii="Arial" w:hAnsi="Arial" w:eastAsia="宋体" w:cs="Arial"/>
                <w:i w:val="0"/>
                <w:color w:val="000000"/>
                <w:sz w:val="20"/>
                <w:szCs w:val="20"/>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十、节能环保支出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3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jc w:val="right"/>
              <w:rPr>
                <w:rFonts w:hint="default" w:ascii="Arial" w:hAnsi="Arial" w:eastAsia="宋体" w:cs="Arial"/>
                <w:i w:val="0"/>
                <w:color w:val="000000"/>
                <w:sz w:val="20"/>
                <w:szCs w:val="20"/>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十一、城乡社区支出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3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jc w:val="right"/>
              <w:rPr>
                <w:rFonts w:hint="default" w:ascii="Arial" w:hAnsi="Arial" w:eastAsia="宋体" w:cs="Arial"/>
                <w:i w:val="0"/>
                <w:color w:val="000000"/>
                <w:sz w:val="20"/>
                <w:szCs w:val="20"/>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十二、农林水支出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3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十三、交通运输支出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十四、资源勘探工业信息等支出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十五、商业服务业等支出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十六、金融支出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十七、援助其他地区支出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十八、自然资源海洋气象等支出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十九、住房保障支出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ascii="宋体" w:hAnsi="宋体" w:eastAsia="宋体" w:cs="宋体"/>
                <w:b w:val="0"/>
                <w:bCs w:val="0"/>
                <w:color w:val="000000"/>
                <w:sz w:val="21"/>
                <w:szCs w:val="21"/>
                <w:lang w:bidi="ar"/>
              </w:rPr>
              <w:t>2.83</w:t>
            </w:r>
            <w:r>
              <w:rPr>
                <w:rFonts w:hint="eastAsia" w:cs="宋体"/>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二十、粮油物资储备支出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二十一、国有资本经营预算支出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二十二、灾害防治及应急管理支出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二十三、其他支出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二十四、债务还本支出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二十五、债务付息支出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二十六、抗疫特别国债安排的支出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本年收入合计</w:t>
            </w: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54.44</w:t>
            </w: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本年支出合计</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54.44</w:t>
            </w: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使用非财政拨款结余和专用结余</w:t>
            </w: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结余分配</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年初结转和结余</w:t>
            </w: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年末结转和结余</w:t>
            </w:r>
          </w:p>
        </w:tc>
        <w:tc>
          <w:tcPr>
            <w:tcW w:w="3817" w:type="dxa"/>
            <w:tcBorders>
              <w:top w:val="nil"/>
              <w:left w:val="nil"/>
              <w:bottom w:val="single" w:color="auto"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7"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43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54.44</w:t>
            </w: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auto"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381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wordWrap w:val="0"/>
              <w:jc w:val="right"/>
              <w:textAlignment w:val="center"/>
              <w:rPr>
                <w:rFonts w:hint="eastAsia" w:ascii="宋体" w:hAnsi="宋体" w:eastAsia="宋体" w:cs="宋体"/>
                <w:i w:val="0"/>
                <w:color w:val="000000"/>
                <w:sz w:val="20"/>
                <w:szCs w:val="20"/>
                <w:u w:val="none"/>
                <w:lang w:val="en-US" w:eastAsia="zh-CN"/>
              </w:rPr>
            </w:pPr>
            <w:r>
              <w:rPr>
                <w:rFonts w:hint="eastAsia" w:ascii="宋体" w:hAnsi="宋体" w:eastAsia="宋体" w:cs="宋体"/>
                <w:color w:val="000000"/>
                <w:sz w:val="21"/>
                <w:szCs w:val="21"/>
                <w:lang w:bidi="ar"/>
              </w:rPr>
              <w:t>54.44</w:t>
            </w:r>
            <w:r>
              <w:rPr>
                <w:rFonts w:hint="eastAsia" w:cs="宋体"/>
                <w:color w:val="000000"/>
                <w:sz w:val="21"/>
                <w:szCs w:val="21"/>
                <w:lang w:val="en-US" w:eastAsia="zh-CN" w:bidi="ar"/>
              </w:rPr>
              <w:t xml:space="preserve"> </w:t>
            </w:r>
          </w:p>
        </w:tc>
      </w:tr>
    </w:tbl>
    <w:p>
      <w:pPr>
        <w:rPr>
          <w:rFonts w:hint="eastAsia" w:ascii="宋体" w:hAnsi="宋体" w:eastAsia="宋体" w:cs="宋体"/>
          <w:b w:val="0"/>
          <w:bCs w:val="0"/>
          <w:i w:val="0"/>
          <w:iCs w:val="0"/>
          <w:color w:val="auto"/>
          <w:kern w:val="0"/>
          <w:sz w:val="21"/>
          <w:szCs w:val="21"/>
          <w:u w:val="none"/>
          <w:shd w:val="clear" w:color="auto" w:fill="auto"/>
          <w:lang w:val="en-US" w:eastAsia="zh-CN" w:bidi="ar"/>
        </w:rPr>
      </w:pPr>
      <w:r>
        <w:rPr>
          <w:rFonts w:hint="eastAsia" w:ascii="宋体" w:hAnsi="宋体" w:eastAsia="宋体" w:cs="宋体"/>
          <w:b w:val="0"/>
          <w:bCs w:val="0"/>
          <w:i w:val="0"/>
          <w:iCs w:val="0"/>
          <w:color w:val="auto"/>
          <w:kern w:val="0"/>
          <w:sz w:val="21"/>
          <w:szCs w:val="21"/>
          <w:u w:val="none"/>
          <w:shd w:val="clear" w:color="auto" w:fill="auto"/>
          <w:lang w:val="en-US" w:eastAsia="zh-CN" w:bidi="ar"/>
        </w:rPr>
        <w:t>备注：1.本表反映单位本年度的总收支和年末结转结余情况。</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b w:val="0"/>
          <w:bCs w:val="0"/>
          <w:i w:val="0"/>
          <w:iCs w:val="0"/>
          <w:color w:val="auto"/>
          <w:kern w:val="0"/>
          <w:sz w:val="21"/>
          <w:szCs w:val="21"/>
          <w:u w:val="none"/>
          <w:shd w:val="clear" w:color="auto" w:fill="auto"/>
          <w:lang w:val="en-US" w:eastAsia="zh-CN" w:bidi="ar"/>
        </w:rPr>
        <w:t xml:space="preserve">      2.本套报表金额单位转换时可能存在尾数误差。</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sz w:val="21"/>
          <w:szCs w:val="21"/>
        </w:rPr>
        <w:br w:type="textWrapping"/>
      </w:r>
    </w:p>
    <w:p>
      <w:pPr>
        <w:rPr>
          <w:rFonts w:hint="eastAsia" w:ascii="宋体" w:hAnsi="宋体" w:eastAsia="宋体" w:cs="宋体"/>
          <w:b w:val="0"/>
          <w:bCs w:val="0"/>
          <w:i w:val="0"/>
          <w:iCs w:val="0"/>
          <w:color w:val="auto"/>
          <w:kern w:val="0"/>
          <w:sz w:val="21"/>
          <w:szCs w:val="21"/>
          <w:u w:val="none"/>
          <w:shd w:val="clear" w:color="auto" w:fill="auto"/>
          <w:lang w:val="en-US" w:eastAsia="zh-CN" w:bidi="ar"/>
        </w:rPr>
      </w:pPr>
      <w:r>
        <w:rPr>
          <w:rFonts w:hint="eastAsia" w:ascii="宋体" w:hAnsi="宋体" w:eastAsia="宋体" w:cs="宋体"/>
          <w:b w:val="0"/>
          <w:bCs w:val="0"/>
          <w:i w:val="0"/>
          <w:iCs w:val="0"/>
          <w:color w:val="auto"/>
          <w:kern w:val="0"/>
          <w:sz w:val="21"/>
          <w:szCs w:val="21"/>
          <w:u w:val="none"/>
          <w:shd w:val="clear" w:color="auto" w:fill="auto"/>
          <w:lang w:val="en-US" w:eastAsia="zh-CN" w:bidi="ar"/>
        </w:rPr>
        <w:br w:type="page"/>
      </w:r>
    </w:p>
    <w:p>
      <w:pPr>
        <w:rPr>
          <w:rFonts w:hint="eastAsia" w:ascii="宋体" w:hAnsi="宋体" w:eastAsia="宋体" w:cs="宋体"/>
          <w:b w:val="0"/>
          <w:bCs w:val="0"/>
          <w:i w:val="0"/>
          <w:iCs w:val="0"/>
          <w:color w:val="auto"/>
          <w:kern w:val="0"/>
          <w:sz w:val="21"/>
          <w:szCs w:val="21"/>
          <w:u w:val="none"/>
          <w:shd w:val="clear" w:color="auto" w:fill="auto"/>
          <w:lang w:val="en-US" w:eastAsia="zh-CN" w:bidi="ar"/>
        </w:rPr>
      </w:pPr>
    </w:p>
    <w:tbl>
      <w:tblPr>
        <w:tblStyle w:val="6"/>
        <w:tblW w:w="22220" w:type="dxa"/>
        <w:tblInd w:w="0" w:type="dxa"/>
        <w:shd w:val="clear" w:color="auto" w:fill="auto"/>
        <w:tblLayout w:type="fixed"/>
        <w:tblCellMar>
          <w:top w:w="0" w:type="dxa"/>
          <w:left w:w="0" w:type="dxa"/>
          <w:bottom w:w="0" w:type="dxa"/>
          <w:right w:w="0" w:type="dxa"/>
        </w:tblCellMar>
      </w:tblPr>
      <w:tblGrid>
        <w:gridCol w:w="1941"/>
        <w:gridCol w:w="3317"/>
        <w:gridCol w:w="2412"/>
        <w:gridCol w:w="2399"/>
        <w:gridCol w:w="1963"/>
        <w:gridCol w:w="1963"/>
        <w:gridCol w:w="1963"/>
        <w:gridCol w:w="1963"/>
        <w:gridCol w:w="1963"/>
        <w:gridCol w:w="2336"/>
      </w:tblGrid>
      <w:tr>
        <w:tblPrEx>
          <w:tblCellMar>
            <w:top w:w="0" w:type="dxa"/>
            <w:left w:w="0" w:type="dxa"/>
            <w:bottom w:w="0" w:type="dxa"/>
            <w:right w:w="0" w:type="dxa"/>
          </w:tblCellMar>
        </w:tblPrEx>
        <w:trPr>
          <w:trHeight w:val="641" w:hRule="atLeast"/>
        </w:trPr>
        <w:tc>
          <w:tcPr>
            <w:tcW w:w="22220" w:type="dxa"/>
            <w:gridSpan w:val="10"/>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4"/>
                <w:szCs w:val="44"/>
                <w:u w:val="none"/>
                <w:lang w:val="en-US" w:eastAsia="zh-CN" w:bidi="ar"/>
              </w:rPr>
              <w:t>收入决算表</w:t>
            </w:r>
          </w:p>
        </w:tc>
      </w:tr>
      <w:tr>
        <w:tblPrEx>
          <w:tblCellMar>
            <w:top w:w="0" w:type="dxa"/>
            <w:left w:w="0" w:type="dxa"/>
            <w:bottom w:w="0" w:type="dxa"/>
            <w:right w:w="0" w:type="dxa"/>
          </w:tblCellMar>
        </w:tblPrEx>
        <w:trPr>
          <w:trHeight w:val="328" w:hRule="atLeast"/>
        </w:trPr>
        <w:tc>
          <w:tcPr>
            <w:tcW w:w="5258" w:type="dxa"/>
            <w:gridSpan w:val="2"/>
            <w:vMerge w:val="restart"/>
            <w:tcBorders>
              <w:top w:val="nil"/>
              <w:left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r>
              <w:rPr>
                <w:rFonts w:hint="eastAsia" w:cs="宋体"/>
                <w:sz w:val="24"/>
                <w:szCs w:val="24"/>
                <w:lang w:eastAsia="zh-CN"/>
              </w:rPr>
              <w:t>公开单位</w:t>
            </w:r>
            <w:r>
              <w:rPr>
                <w:rFonts w:hint="eastAsia" w:ascii="宋体" w:hAnsi="宋体" w:eastAsia="宋体" w:cs="宋体"/>
                <w:sz w:val="24"/>
                <w:szCs w:val="24"/>
              </w:rPr>
              <w:t>：</w:t>
            </w:r>
            <w:r>
              <w:rPr>
                <w:rFonts w:ascii="宋体" w:hAnsi="宋体" w:eastAsia="宋体" w:cs="宋体"/>
                <w:sz w:val="24"/>
                <w:u w:color="auto"/>
              </w:rPr>
              <w:t>重庆市黔江区城东街道办事处退役军人服务站</w:t>
            </w:r>
          </w:p>
        </w:tc>
        <w:tc>
          <w:tcPr>
            <w:tcW w:w="2412"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2399"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1963"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1963"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1963"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1963"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1963"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2336" w:type="dxa"/>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公开02表</w:t>
            </w:r>
          </w:p>
        </w:tc>
      </w:tr>
      <w:tr>
        <w:tblPrEx>
          <w:tblCellMar>
            <w:top w:w="0" w:type="dxa"/>
            <w:left w:w="0" w:type="dxa"/>
            <w:bottom w:w="0" w:type="dxa"/>
            <w:right w:w="0" w:type="dxa"/>
          </w:tblCellMar>
        </w:tblPrEx>
        <w:trPr>
          <w:trHeight w:val="328" w:hRule="atLeast"/>
        </w:trPr>
        <w:tc>
          <w:tcPr>
            <w:tcW w:w="5258" w:type="dxa"/>
            <w:gridSpan w:val="2"/>
            <w:vMerge w:val="continue"/>
            <w:tcBorders>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2412"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2399"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1963"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1963"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1963"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1963"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1963"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2336" w:type="dxa"/>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r>
              <w:rPr>
                <w:rFonts w:hint="eastAsia" w:ascii="宋体" w:hAnsi="宋体" w:eastAsia="宋体" w:cs="宋体"/>
                <w:sz w:val="24"/>
                <w:szCs w:val="24"/>
              </w:rPr>
              <w:t>万元</w:t>
            </w:r>
          </w:p>
        </w:tc>
      </w:tr>
      <w:tr>
        <w:tblPrEx>
          <w:tblCellMar>
            <w:top w:w="0" w:type="dxa"/>
            <w:left w:w="0" w:type="dxa"/>
            <w:bottom w:w="0" w:type="dxa"/>
            <w:right w:w="0" w:type="dxa"/>
          </w:tblCellMar>
        </w:tblPrEx>
        <w:trPr>
          <w:trHeight w:val="431" w:hRule="atLeast"/>
        </w:trPr>
        <w:tc>
          <w:tcPr>
            <w:tcW w:w="5258" w:type="dxa"/>
            <w:gridSpan w:val="2"/>
            <w:tcBorders>
              <w:top w:val="single" w:color="000000" w:sz="4" w:space="0"/>
              <w:left w:val="single" w:color="000000" w:sz="4" w:space="0"/>
              <w:bottom w:val="single" w:color="000000" w:sz="4" w:space="0"/>
              <w:right w:val="nil"/>
            </w:tcBorders>
            <w:shd w:val="clear" w:color="auto" w:fill="D0CECE"/>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w:t>
            </w:r>
          </w:p>
        </w:tc>
        <w:tc>
          <w:tcPr>
            <w:tcW w:w="2412"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本年收入合计</w:t>
            </w:r>
          </w:p>
        </w:tc>
        <w:tc>
          <w:tcPr>
            <w:tcW w:w="2399"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财政拨款收入</w:t>
            </w:r>
          </w:p>
        </w:tc>
        <w:tc>
          <w:tcPr>
            <w:tcW w:w="1963"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上级补助收入</w:t>
            </w:r>
          </w:p>
        </w:tc>
        <w:tc>
          <w:tcPr>
            <w:tcW w:w="3926" w:type="dxa"/>
            <w:gridSpan w:val="2"/>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事业收入</w:t>
            </w:r>
          </w:p>
        </w:tc>
        <w:tc>
          <w:tcPr>
            <w:tcW w:w="1963"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经营收入</w:t>
            </w:r>
          </w:p>
        </w:tc>
        <w:tc>
          <w:tcPr>
            <w:tcW w:w="1963"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附属单位上缴收入</w:t>
            </w:r>
          </w:p>
        </w:tc>
        <w:tc>
          <w:tcPr>
            <w:tcW w:w="2336"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其他收入</w:t>
            </w:r>
          </w:p>
        </w:tc>
      </w:tr>
      <w:tr>
        <w:tblPrEx>
          <w:tblCellMar>
            <w:top w:w="0" w:type="dxa"/>
            <w:left w:w="0" w:type="dxa"/>
            <w:bottom w:w="0" w:type="dxa"/>
            <w:right w:w="0" w:type="dxa"/>
          </w:tblCellMar>
        </w:tblPrEx>
        <w:trPr>
          <w:trHeight w:val="334" w:hRule="atLeast"/>
        </w:trPr>
        <w:tc>
          <w:tcPr>
            <w:tcW w:w="1941" w:type="dxa"/>
            <w:vMerge w:val="restar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功能分类科目编码</w:t>
            </w:r>
          </w:p>
        </w:tc>
        <w:tc>
          <w:tcPr>
            <w:tcW w:w="3317" w:type="dxa"/>
            <w:vMerge w:val="restart"/>
            <w:tcBorders>
              <w:top w:val="nil"/>
              <w:left w:val="nil"/>
              <w:bottom w:val="single" w:color="000000" w:sz="4" w:space="0"/>
              <w:right w:val="nil"/>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项目（按“项”级功能分类科目）</w:t>
            </w:r>
          </w:p>
        </w:tc>
        <w:tc>
          <w:tcPr>
            <w:tcW w:w="2412"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399"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963"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小计</w:t>
            </w:r>
          </w:p>
        </w:tc>
        <w:tc>
          <w:tcPr>
            <w:tcW w:w="1963"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其中：教育收费</w:t>
            </w: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336"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r>
      <w:tr>
        <w:tblPrEx>
          <w:tblCellMar>
            <w:top w:w="0" w:type="dxa"/>
            <w:left w:w="0" w:type="dxa"/>
            <w:bottom w:w="0" w:type="dxa"/>
            <w:right w:w="0" w:type="dxa"/>
          </w:tblCellMar>
        </w:tblPrEx>
        <w:trPr>
          <w:trHeight w:val="334" w:hRule="atLeast"/>
        </w:trPr>
        <w:tc>
          <w:tcPr>
            <w:tcW w:w="1941" w:type="dxa"/>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3317" w:type="dxa"/>
            <w:vMerge w:val="continue"/>
            <w:tcBorders>
              <w:top w:val="nil"/>
              <w:left w:val="nil"/>
              <w:bottom w:val="single" w:color="000000" w:sz="4" w:space="0"/>
              <w:right w:val="nil"/>
            </w:tcBorders>
            <w:shd w:val="clear" w:color="FFFFFF" w:fill="C0C0C0"/>
            <w:noWrap/>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412"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399"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336"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r>
      <w:tr>
        <w:tblPrEx>
          <w:tblCellMar>
            <w:top w:w="0" w:type="dxa"/>
            <w:left w:w="0" w:type="dxa"/>
            <w:bottom w:w="0" w:type="dxa"/>
            <w:right w:w="0" w:type="dxa"/>
          </w:tblCellMar>
        </w:tblPrEx>
        <w:trPr>
          <w:trHeight w:val="334" w:hRule="atLeast"/>
        </w:trPr>
        <w:tc>
          <w:tcPr>
            <w:tcW w:w="1941" w:type="dxa"/>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3317" w:type="dxa"/>
            <w:vMerge w:val="continue"/>
            <w:tcBorders>
              <w:top w:val="nil"/>
              <w:left w:val="nil"/>
              <w:bottom w:val="single" w:color="000000" w:sz="4" w:space="0"/>
              <w:right w:val="nil"/>
            </w:tcBorders>
            <w:shd w:val="clear" w:color="FFFFFF" w:fill="C0C0C0"/>
            <w:noWrap/>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412"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399"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336"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r>
      <w:tr>
        <w:tblPrEx>
          <w:tblCellMar>
            <w:top w:w="0" w:type="dxa"/>
            <w:left w:w="0" w:type="dxa"/>
            <w:bottom w:w="0" w:type="dxa"/>
            <w:right w:w="0" w:type="dxa"/>
          </w:tblCellMar>
        </w:tblPrEx>
        <w:trPr>
          <w:trHeight w:val="334" w:hRule="atLeast"/>
        </w:trPr>
        <w:tc>
          <w:tcPr>
            <w:tcW w:w="1941" w:type="dxa"/>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3317" w:type="dxa"/>
            <w:vMerge w:val="continue"/>
            <w:tcBorders>
              <w:top w:val="nil"/>
              <w:left w:val="nil"/>
              <w:bottom w:val="single" w:color="000000" w:sz="4" w:space="0"/>
              <w:right w:val="nil"/>
            </w:tcBorders>
            <w:shd w:val="clear" w:color="FFFFFF" w:fill="C0C0C0"/>
            <w:noWrap/>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412"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399"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336"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r>
      <w:tr>
        <w:tblPrEx>
          <w:tblCellMar>
            <w:top w:w="0" w:type="dxa"/>
            <w:left w:w="0" w:type="dxa"/>
            <w:bottom w:w="0" w:type="dxa"/>
            <w:right w:w="0" w:type="dxa"/>
          </w:tblCellMar>
        </w:tblPrEx>
        <w:trPr>
          <w:trHeight w:val="338" w:hRule="atLeast"/>
        </w:trPr>
        <w:tc>
          <w:tcPr>
            <w:tcW w:w="5258" w:type="dxa"/>
            <w:gridSpan w:val="2"/>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合计</w:t>
            </w:r>
          </w:p>
        </w:tc>
        <w:tc>
          <w:tcPr>
            <w:tcW w:w="241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color w:val="000000"/>
                <w:sz w:val="21"/>
                <w:szCs w:val="21"/>
                <w:lang w:bidi="ar"/>
              </w:rPr>
              <w:t>54.44</w:t>
            </w:r>
            <w:r>
              <w:rPr>
                <w:rFonts w:hint="eastAsia" w:cs="宋体"/>
                <w:b/>
                <w:bCs/>
                <w:color w:val="000000"/>
                <w:sz w:val="21"/>
                <w:szCs w:val="21"/>
                <w:lang w:val="en-US" w:eastAsia="zh-CN" w:bidi="ar"/>
              </w:rPr>
              <w:t xml:space="preserve"> </w:t>
            </w:r>
          </w:p>
        </w:tc>
        <w:tc>
          <w:tcPr>
            <w:tcW w:w="239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color w:val="000000"/>
                <w:sz w:val="21"/>
                <w:szCs w:val="21"/>
                <w:lang w:bidi="ar"/>
              </w:rPr>
              <w:t>54.44</w:t>
            </w:r>
            <w:r>
              <w:rPr>
                <w:rFonts w:hint="eastAsia" w:cs="宋体"/>
                <w:b/>
                <w:bCs/>
                <w:color w:val="000000"/>
                <w:sz w:val="21"/>
                <w:szCs w:val="21"/>
                <w:lang w:val="en-US" w:eastAsia="zh-CN" w:bidi="ar"/>
              </w:rPr>
              <w:t xml:space="preserve"> </w:t>
            </w:r>
          </w:p>
        </w:tc>
        <w:tc>
          <w:tcPr>
            <w:tcW w:w="196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196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196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196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196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23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208</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社会保障和就业支出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48.65</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48.65</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20805</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行政事业单位养老支出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8.54</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8.54</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2080505</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机关事业单位基本养老保险缴费支出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5.54</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5.54</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2080506</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机关事业单位职业年金缴费支出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3.00</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3.00</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20828</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退役军人管理事务</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40.11</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40.11</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2082850</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事业运行</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40.11</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40.11</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210</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卫生健康支出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2.96</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2.96</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21011</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行政事业单位医疗</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2.96</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2.96</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2101102</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事业单位医疗</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2.24</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2.24</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2101199</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其他行政事业单位医疗支出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0.72</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0.72</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221</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住房保障支出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2.83</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2.83</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22102</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住房改革支出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2.83</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2.83</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2210201</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住房公积金</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2.83</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2.83</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bl>
    <w:p>
      <w:pPr>
        <w:ind w:left="630" w:hanging="630" w:hangingChars="300"/>
        <w:rPr>
          <w:rFonts w:hint="eastAsia" w:ascii="宋体" w:hAnsi="宋体" w:eastAsia="宋体" w:cs="宋体"/>
          <w:b w:val="0"/>
          <w:bCs w:val="0"/>
          <w:i w:val="0"/>
          <w:iCs w:val="0"/>
          <w:color w:val="auto"/>
          <w:kern w:val="0"/>
          <w:sz w:val="21"/>
          <w:szCs w:val="21"/>
          <w:u w:val="none"/>
          <w:shd w:val="clear" w:color="auto" w:fill="auto"/>
          <w:lang w:val="en-US" w:eastAsia="zh-CN" w:bidi="ar"/>
        </w:rPr>
      </w:pPr>
      <w:r>
        <w:rPr>
          <w:rFonts w:hint="eastAsia" w:ascii="宋体" w:hAnsi="宋体" w:eastAsia="宋体" w:cs="宋体"/>
          <w:b w:val="0"/>
          <w:bCs w:val="0"/>
          <w:i w:val="0"/>
          <w:iCs w:val="0"/>
          <w:color w:val="auto"/>
          <w:kern w:val="0"/>
          <w:sz w:val="21"/>
          <w:szCs w:val="21"/>
          <w:u w:val="none"/>
          <w:shd w:val="clear" w:color="auto" w:fill="auto"/>
          <w:lang w:val="en-US" w:eastAsia="zh-CN" w:bidi="ar"/>
        </w:rPr>
        <w:t>备注：1.本表反映单位本年度取得的各项收入情况。</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b w:val="0"/>
          <w:bCs w:val="0"/>
          <w:i w:val="0"/>
          <w:iCs w:val="0"/>
          <w:color w:val="auto"/>
          <w:kern w:val="0"/>
          <w:sz w:val="21"/>
          <w:szCs w:val="21"/>
          <w:u w:val="none"/>
          <w:shd w:val="clear" w:color="auto" w:fill="auto"/>
          <w:lang w:val="en-US" w:eastAsia="zh-CN" w:bidi="ar"/>
        </w:rPr>
        <w:t>2.本套报表金额单位转换时可能存在尾数误差。</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p>
    <w:p>
      <w:pPr>
        <w:rPr>
          <w:rFonts w:hint="eastAsia" w:ascii="宋体" w:hAnsi="宋体" w:eastAsia="宋体" w:cs="宋体"/>
          <w:b w:val="0"/>
          <w:bCs w:val="0"/>
          <w:i w:val="0"/>
          <w:iCs w:val="0"/>
          <w:color w:val="auto"/>
          <w:kern w:val="0"/>
          <w:sz w:val="21"/>
          <w:szCs w:val="21"/>
          <w:u w:val="none"/>
          <w:shd w:val="clear" w:color="auto" w:fill="auto"/>
          <w:lang w:val="en-US" w:eastAsia="zh-CN" w:bidi="ar"/>
        </w:rPr>
      </w:pPr>
      <w:r>
        <w:rPr>
          <w:rFonts w:hint="eastAsia" w:ascii="宋体" w:hAnsi="宋体" w:eastAsia="宋体" w:cs="宋体"/>
          <w:b w:val="0"/>
          <w:bCs w:val="0"/>
          <w:i w:val="0"/>
          <w:iCs w:val="0"/>
          <w:color w:val="auto"/>
          <w:kern w:val="0"/>
          <w:sz w:val="21"/>
          <w:szCs w:val="21"/>
          <w:u w:val="none"/>
          <w:shd w:val="clear" w:color="auto" w:fill="auto"/>
          <w:lang w:val="en-US" w:eastAsia="zh-CN" w:bidi="ar"/>
        </w:rPr>
        <w:br w:type="page"/>
      </w:r>
    </w:p>
    <w:p>
      <w:pPr>
        <w:ind w:left="630" w:hanging="630" w:hangingChars="300"/>
        <w:rPr>
          <w:rFonts w:hint="eastAsia" w:ascii="宋体" w:hAnsi="宋体" w:eastAsia="宋体" w:cs="宋体"/>
          <w:b w:val="0"/>
          <w:bCs w:val="0"/>
          <w:i w:val="0"/>
          <w:iCs w:val="0"/>
          <w:color w:val="auto"/>
          <w:kern w:val="0"/>
          <w:sz w:val="21"/>
          <w:szCs w:val="21"/>
          <w:u w:val="none"/>
          <w:shd w:val="clear" w:color="auto" w:fill="auto"/>
          <w:lang w:val="en-US" w:eastAsia="zh-CN" w:bidi="ar"/>
        </w:rPr>
      </w:pPr>
    </w:p>
    <w:tbl>
      <w:tblPr>
        <w:tblStyle w:val="6"/>
        <w:tblW w:w="22180" w:type="dxa"/>
        <w:tblInd w:w="0" w:type="dxa"/>
        <w:shd w:val="clear" w:color="auto" w:fill="auto"/>
        <w:tblLayout w:type="fixed"/>
        <w:tblCellMar>
          <w:top w:w="0" w:type="dxa"/>
          <w:left w:w="0" w:type="dxa"/>
          <w:bottom w:w="0" w:type="dxa"/>
          <w:right w:w="0" w:type="dxa"/>
        </w:tblCellMar>
      </w:tblPr>
      <w:tblGrid>
        <w:gridCol w:w="2082"/>
        <w:gridCol w:w="3528"/>
        <w:gridCol w:w="2760"/>
        <w:gridCol w:w="2760"/>
        <w:gridCol w:w="2760"/>
        <w:gridCol w:w="2760"/>
        <w:gridCol w:w="2760"/>
        <w:gridCol w:w="2770"/>
      </w:tblGrid>
      <w:tr>
        <w:tblPrEx>
          <w:shd w:val="clear" w:color="auto" w:fill="auto"/>
          <w:tblCellMar>
            <w:top w:w="0" w:type="dxa"/>
            <w:left w:w="0" w:type="dxa"/>
            <w:bottom w:w="0" w:type="dxa"/>
            <w:right w:w="0" w:type="dxa"/>
          </w:tblCellMar>
        </w:tblPrEx>
        <w:trPr>
          <w:trHeight w:val="654" w:hRule="atLeast"/>
        </w:trPr>
        <w:tc>
          <w:tcPr>
            <w:tcW w:w="22180" w:type="dxa"/>
            <w:gridSpan w:val="8"/>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4"/>
                <w:szCs w:val="44"/>
                <w:u w:val="none"/>
                <w:lang w:val="en-US" w:eastAsia="zh-CN" w:bidi="ar"/>
              </w:rPr>
              <w:t>支出决算表</w:t>
            </w:r>
          </w:p>
        </w:tc>
      </w:tr>
      <w:tr>
        <w:tblPrEx>
          <w:shd w:val="clear" w:color="auto" w:fill="auto"/>
          <w:tblCellMar>
            <w:top w:w="0" w:type="dxa"/>
            <w:left w:w="0" w:type="dxa"/>
            <w:bottom w:w="0" w:type="dxa"/>
            <w:right w:w="0" w:type="dxa"/>
          </w:tblCellMar>
        </w:tblPrEx>
        <w:trPr>
          <w:trHeight w:val="342" w:hRule="atLeast"/>
        </w:trPr>
        <w:tc>
          <w:tcPr>
            <w:tcW w:w="5610" w:type="dxa"/>
            <w:gridSpan w:val="2"/>
            <w:vMerge w:val="restart"/>
            <w:tcBorders>
              <w:top w:val="nil"/>
              <w:left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r>
              <w:rPr>
                <w:rFonts w:hint="eastAsia" w:asciiTheme="minorEastAsia" w:hAnsiTheme="minorEastAsia" w:eastAsiaTheme="minorEastAsia" w:cstheme="minorEastAsia"/>
                <w:sz w:val="24"/>
                <w:szCs w:val="24"/>
                <w:lang w:eastAsia="zh-CN"/>
              </w:rPr>
              <w:t>公开单位</w:t>
            </w:r>
            <w:r>
              <w:rPr>
                <w:rFonts w:hint="eastAsia" w:asciiTheme="minorEastAsia" w:hAnsiTheme="minorEastAsia" w:eastAsiaTheme="minorEastAsia" w:cstheme="minorEastAsia"/>
                <w:color w:val="000000"/>
                <w:sz w:val="24"/>
                <w:szCs w:val="24"/>
                <w:lang w:bidi="ar"/>
              </w:rPr>
              <w:t xml:space="preserve">： </w:t>
            </w:r>
            <w:r>
              <w:rPr>
                <w:color w:val="000000"/>
                <w:sz w:val="24"/>
                <w:u w:color="auto"/>
              </w:rPr>
              <w:t xml:space="preserve">重庆市黔江区城东街道办事处退役军人服务站 </w:t>
            </w:r>
          </w:p>
        </w:tc>
        <w:tc>
          <w:tcPr>
            <w:tcW w:w="276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276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276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276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276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2770" w:type="dxa"/>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公开03表</w:t>
            </w:r>
          </w:p>
        </w:tc>
      </w:tr>
      <w:tr>
        <w:tblPrEx>
          <w:shd w:val="clear" w:color="auto" w:fill="auto"/>
          <w:tblCellMar>
            <w:top w:w="0" w:type="dxa"/>
            <w:left w:w="0" w:type="dxa"/>
            <w:bottom w:w="0" w:type="dxa"/>
            <w:right w:w="0" w:type="dxa"/>
          </w:tblCellMar>
        </w:tblPrEx>
        <w:trPr>
          <w:trHeight w:val="342" w:hRule="atLeast"/>
        </w:trPr>
        <w:tc>
          <w:tcPr>
            <w:tcW w:w="5610" w:type="dxa"/>
            <w:gridSpan w:val="2"/>
            <w:vMerge w:val="continue"/>
            <w:tcBorders>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276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276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276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276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276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2770" w:type="dxa"/>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r>
              <w:rPr>
                <w:rFonts w:hint="eastAsia" w:ascii="宋体" w:hAnsi="宋体" w:eastAsia="宋体" w:cs="宋体"/>
                <w:sz w:val="24"/>
                <w:szCs w:val="24"/>
              </w:rPr>
              <w:t>万元</w:t>
            </w:r>
          </w:p>
        </w:tc>
      </w:tr>
      <w:tr>
        <w:tblPrEx>
          <w:shd w:val="clear" w:color="auto" w:fill="auto"/>
          <w:tblCellMar>
            <w:top w:w="0" w:type="dxa"/>
            <w:left w:w="0" w:type="dxa"/>
            <w:bottom w:w="0" w:type="dxa"/>
            <w:right w:w="0" w:type="dxa"/>
          </w:tblCellMar>
        </w:tblPrEx>
        <w:trPr>
          <w:trHeight w:val="362" w:hRule="atLeast"/>
        </w:trPr>
        <w:tc>
          <w:tcPr>
            <w:tcW w:w="5610" w:type="dxa"/>
            <w:gridSpan w:val="2"/>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w:t>
            </w:r>
          </w:p>
        </w:tc>
        <w:tc>
          <w:tcPr>
            <w:tcW w:w="2760"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本年支出合计</w:t>
            </w:r>
          </w:p>
        </w:tc>
        <w:tc>
          <w:tcPr>
            <w:tcW w:w="2760"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基本支出</w:t>
            </w:r>
          </w:p>
        </w:tc>
        <w:tc>
          <w:tcPr>
            <w:tcW w:w="2760"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项目支出</w:t>
            </w:r>
          </w:p>
        </w:tc>
        <w:tc>
          <w:tcPr>
            <w:tcW w:w="2760"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上缴上级支出</w:t>
            </w:r>
          </w:p>
        </w:tc>
        <w:tc>
          <w:tcPr>
            <w:tcW w:w="2760"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经营支出</w:t>
            </w:r>
          </w:p>
        </w:tc>
        <w:tc>
          <w:tcPr>
            <w:tcW w:w="2770"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对附属单位补助支出</w:t>
            </w:r>
          </w:p>
        </w:tc>
      </w:tr>
      <w:tr>
        <w:tblPrEx>
          <w:shd w:val="clear" w:color="auto" w:fill="auto"/>
          <w:tblCellMar>
            <w:top w:w="0" w:type="dxa"/>
            <w:left w:w="0" w:type="dxa"/>
            <w:bottom w:w="0" w:type="dxa"/>
            <w:right w:w="0" w:type="dxa"/>
          </w:tblCellMar>
        </w:tblPrEx>
        <w:trPr>
          <w:trHeight w:val="338" w:hRule="atLeast"/>
        </w:trPr>
        <w:tc>
          <w:tcPr>
            <w:tcW w:w="2082" w:type="dxa"/>
            <w:vMerge w:val="restar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功能分类科目编码</w:t>
            </w:r>
          </w:p>
        </w:tc>
        <w:tc>
          <w:tcPr>
            <w:tcW w:w="3528" w:type="dxa"/>
            <w:vMerge w:val="restart"/>
            <w:tcBorders>
              <w:top w:val="nil"/>
              <w:left w:val="nil"/>
              <w:bottom w:val="single" w:color="000000" w:sz="4" w:space="0"/>
              <w:right w:val="nil"/>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项目（按“项”级功能分类科目）</w:t>
            </w: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77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r>
      <w:tr>
        <w:tblPrEx>
          <w:shd w:val="clear" w:color="auto" w:fill="auto"/>
          <w:tblCellMar>
            <w:top w:w="0" w:type="dxa"/>
            <w:left w:w="0" w:type="dxa"/>
            <w:bottom w:w="0" w:type="dxa"/>
            <w:right w:w="0" w:type="dxa"/>
          </w:tblCellMar>
        </w:tblPrEx>
        <w:trPr>
          <w:trHeight w:val="338" w:hRule="atLeast"/>
        </w:trPr>
        <w:tc>
          <w:tcPr>
            <w:tcW w:w="2082" w:type="dxa"/>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3528" w:type="dxa"/>
            <w:vMerge w:val="continue"/>
            <w:tcBorders>
              <w:top w:val="nil"/>
              <w:left w:val="nil"/>
              <w:bottom w:val="single" w:color="000000" w:sz="4" w:space="0"/>
              <w:right w:val="nil"/>
            </w:tcBorders>
            <w:shd w:val="clear" w:color="FFFFFF" w:fill="C0C0C0"/>
            <w:noWrap/>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77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r>
      <w:tr>
        <w:tblPrEx>
          <w:shd w:val="clear" w:color="auto" w:fill="auto"/>
          <w:tblCellMar>
            <w:top w:w="0" w:type="dxa"/>
            <w:left w:w="0" w:type="dxa"/>
            <w:bottom w:w="0" w:type="dxa"/>
            <w:right w:w="0" w:type="dxa"/>
          </w:tblCellMar>
        </w:tblPrEx>
        <w:trPr>
          <w:trHeight w:val="338" w:hRule="atLeast"/>
        </w:trPr>
        <w:tc>
          <w:tcPr>
            <w:tcW w:w="2082" w:type="dxa"/>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3528" w:type="dxa"/>
            <w:vMerge w:val="continue"/>
            <w:tcBorders>
              <w:top w:val="nil"/>
              <w:left w:val="nil"/>
              <w:bottom w:val="single" w:color="000000" w:sz="4" w:space="0"/>
              <w:right w:val="nil"/>
            </w:tcBorders>
            <w:shd w:val="clear" w:color="FFFFFF" w:fill="C0C0C0"/>
            <w:noWrap/>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77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r>
      <w:tr>
        <w:tblPrEx>
          <w:shd w:val="clear" w:color="auto" w:fill="auto"/>
          <w:tblCellMar>
            <w:top w:w="0" w:type="dxa"/>
            <w:left w:w="0" w:type="dxa"/>
            <w:bottom w:w="0" w:type="dxa"/>
            <w:right w:w="0" w:type="dxa"/>
          </w:tblCellMar>
        </w:tblPrEx>
        <w:trPr>
          <w:trHeight w:val="338" w:hRule="atLeast"/>
        </w:trPr>
        <w:tc>
          <w:tcPr>
            <w:tcW w:w="2082" w:type="dxa"/>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3528" w:type="dxa"/>
            <w:vMerge w:val="continue"/>
            <w:tcBorders>
              <w:top w:val="nil"/>
              <w:left w:val="nil"/>
              <w:bottom w:val="single" w:color="000000" w:sz="4" w:space="0"/>
              <w:right w:val="nil"/>
            </w:tcBorders>
            <w:shd w:val="clear" w:color="FFFFFF" w:fill="C0C0C0"/>
            <w:noWrap/>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77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r>
      <w:tr>
        <w:tblPrEx>
          <w:shd w:val="clear" w:color="auto" w:fill="auto"/>
          <w:tblCellMar>
            <w:top w:w="0" w:type="dxa"/>
            <w:left w:w="0" w:type="dxa"/>
            <w:bottom w:w="0" w:type="dxa"/>
            <w:right w:w="0" w:type="dxa"/>
          </w:tblCellMar>
        </w:tblPrEx>
        <w:trPr>
          <w:trHeight w:val="362" w:hRule="atLeast"/>
        </w:trPr>
        <w:tc>
          <w:tcPr>
            <w:tcW w:w="5610" w:type="dxa"/>
            <w:gridSpan w:val="2"/>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合计</w:t>
            </w:r>
          </w:p>
        </w:tc>
        <w:tc>
          <w:tcPr>
            <w:tcW w:w="27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color w:val="000000"/>
                <w:sz w:val="21"/>
                <w:szCs w:val="21"/>
                <w:lang w:bidi="ar"/>
              </w:rPr>
              <w:t>54.44</w:t>
            </w:r>
            <w:r>
              <w:rPr>
                <w:rFonts w:hint="eastAsia" w:cs="宋体"/>
                <w:b/>
                <w:bCs/>
                <w:color w:val="000000"/>
                <w:sz w:val="21"/>
                <w:szCs w:val="21"/>
                <w:lang w:val="en-US" w:eastAsia="zh-CN" w:bidi="ar"/>
              </w:rPr>
              <w:t xml:space="preserve"> </w:t>
            </w:r>
          </w:p>
        </w:tc>
        <w:tc>
          <w:tcPr>
            <w:tcW w:w="27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color w:val="000000"/>
                <w:sz w:val="21"/>
                <w:szCs w:val="21"/>
                <w:lang w:bidi="ar"/>
              </w:rPr>
              <w:t>54.44</w:t>
            </w:r>
            <w:r>
              <w:rPr>
                <w:rFonts w:hint="eastAsia" w:cs="宋体"/>
                <w:b/>
                <w:bCs/>
                <w:color w:val="000000"/>
                <w:sz w:val="21"/>
                <w:szCs w:val="21"/>
                <w:lang w:val="en-US" w:eastAsia="zh-CN" w:bidi="ar"/>
              </w:rPr>
              <w:t xml:space="preserve"> </w:t>
            </w:r>
          </w:p>
        </w:tc>
        <w:tc>
          <w:tcPr>
            <w:tcW w:w="27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27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27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27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208</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社会保障和就业支出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48.65</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48.65</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20805</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行政事业单位养老支出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8.54</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8.54</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2080505</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机关事业单位基本养老保险缴费支出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5.54</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5.54</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2080506</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机关事业单位职业年金缴费支出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3.00</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3.00</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20828</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退役军人管理事务</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40.11</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40.11</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2082850</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事业运行</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40.11</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40.11</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210</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卫生健康支出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2.96</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2.96</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21011</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行政事业单位医疗</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2.96</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2.96</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2101102</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事业单位医疗</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2.24</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2.24</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2101199</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其他行政事业单位医疗支出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0.72</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0.72</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221</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住房保障支出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2.83</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2.83</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22102</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住房改革支出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2.83</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2.83</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2210201</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住房公积金</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2.83</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2.83</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bl>
    <w:p>
      <w:pPr>
        <w:rPr>
          <w:rFonts w:hint="eastAsia" w:ascii="宋体" w:hAnsi="宋体" w:eastAsia="宋体" w:cs="宋体"/>
          <w:sz w:val="21"/>
          <w:szCs w:val="21"/>
        </w:rPr>
      </w:pPr>
      <w:r>
        <w:rPr>
          <w:rFonts w:hint="eastAsia" w:ascii="宋体" w:hAnsi="宋体" w:eastAsia="宋体" w:cs="宋体"/>
          <w:b w:val="0"/>
          <w:bCs w:val="0"/>
          <w:i w:val="0"/>
          <w:iCs w:val="0"/>
          <w:color w:val="auto"/>
          <w:kern w:val="0"/>
          <w:sz w:val="21"/>
          <w:szCs w:val="21"/>
          <w:u w:val="none"/>
          <w:shd w:val="clear" w:color="auto" w:fill="auto"/>
          <w:lang w:val="en-US" w:eastAsia="zh-CN" w:bidi="ar"/>
        </w:rPr>
        <w:t>备注：1.本表反映单位本年度取得的各项收入情况。</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b w:val="0"/>
          <w:bCs w:val="0"/>
          <w:i w:val="0"/>
          <w:iCs w:val="0"/>
          <w:color w:val="auto"/>
          <w:kern w:val="0"/>
          <w:sz w:val="21"/>
          <w:szCs w:val="21"/>
          <w:u w:val="none"/>
          <w:shd w:val="clear" w:color="auto" w:fill="auto"/>
          <w:lang w:val="en-US" w:eastAsia="zh-CN" w:bidi="ar"/>
        </w:rPr>
        <w:t xml:space="preserve">      2.本套报表金额单位转换时可能存在尾数误差。</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sz w:val="21"/>
          <w:szCs w:val="21"/>
        </w:rPr>
        <w:br w:type="textWrapping"/>
      </w:r>
    </w:p>
    <w:p>
      <w:pPr>
        <w:rPr>
          <w:rFonts w:hint="eastAsia" w:ascii="宋体" w:hAnsi="宋体" w:eastAsia="宋体" w:cs="宋体"/>
          <w:b w:val="0"/>
          <w:bCs w:val="0"/>
          <w:i w:val="0"/>
          <w:iCs w:val="0"/>
          <w:color w:val="auto"/>
          <w:kern w:val="0"/>
          <w:sz w:val="21"/>
          <w:szCs w:val="21"/>
          <w:u w:val="none"/>
          <w:shd w:val="clear" w:color="auto" w:fill="auto"/>
          <w:lang w:val="en-US" w:eastAsia="zh-CN" w:bidi="ar"/>
        </w:rPr>
      </w:pPr>
      <w:r>
        <w:rPr>
          <w:rFonts w:hint="eastAsia" w:ascii="宋体" w:hAnsi="宋体" w:eastAsia="宋体" w:cs="宋体"/>
          <w:b w:val="0"/>
          <w:bCs w:val="0"/>
          <w:i w:val="0"/>
          <w:iCs w:val="0"/>
          <w:color w:val="auto"/>
          <w:kern w:val="0"/>
          <w:sz w:val="21"/>
          <w:szCs w:val="21"/>
          <w:u w:val="none"/>
          <w:shd w:val="clear" w:color="auto" w:fill="auto"/>
          <w:lang w:val="en-US" w:eastAsia="zh-CN" w:bidi="ar"/>
        </w:rPr>
        <w:br w:type="page"/>
      </w:r>
    </w:p>
    <w:p>
      <w:pPr>
        <w:rPr>
          <w:rFonts w:hint="eastAsia" w:ascii="宋体" w:hAnsi="宋体" w:eastAsia="宋体" w:cs="宋体"/>
          <w:b w:val="0"/>
          <w:bCs w:val="0"/>
          <w:i w:val="0"/>
          <w:iCs w:val="0"/>
          <w:color w:val="auto"/>
          <w:kern w:val="0"/>
          <w:sz w:val="21"/>
          <w:szCs w:val="21"/>
          <w:u w:val="none"/>
          <w:shd w:val="clear" w:color="auto" w:fill="auto"/>
          <w:lang w:val="en-US" w:eastAsia="zh-CN" w:bidi="ar"/>
        </w:rPr>
      </w:pPr>
    </w:p>
    <w:tbl>
      <w:tblPr>
        <w:tblStyle w:val="6"/>
        <w:tblW w:w="22360" w:type="dxa"/>
        <w:tblInd w:w="0" w:type="dxa"/>
        <w:shd w:val="clear" w:color="auto" w:fill="auto"/>
        <w:tblLayout w:type="fixed"/>
        <w:tblCellMar>
          <w:top w:w="0" w:type="dxa"/>
          <w:left w:w="0" w:type="dxa"/>
          <w:bottom w:w="0" w:type="dxa"/>
          <w:right w:w="0" w:type="dxa"/>
        </w:tblCellMar>
      </w:tblPr>
      <w:tblGrid>
        <w:gridCol w:w="4068"/>
        <w:gridCol w:w="2674"/>
        <w:gridCol w:w="3752"/>
        <w:gridCol w:w="2952"/>
        <w:gridCol w:w="2952"/>
        <w:gridCol w:w="2952"/>
        <w:gridCol w:w="3010"/>
      </w:tblGrid>
      <w:tr>
        <w:tblPrEx>
          <w:tblCellMar>
            <w:top w:w="0" w:type="dxa"/>
            <w:left w:w="0" w:type="dxa"/>
            <w:bottom w:w="0" w:type="dxa"/>
            <w:right w:w="0" w:type="dxa"/>
          </w:tblCellMar>
        </w:tblPrEx>
        <w:trPr>
          <w:trHeight w:val="90" w:hRule="atLeast"/>
        </w:trPr>
        <w:tc>
          <w:tcPr>
            <w:tcW w:w="22360" w:type="dxa"/>
            <w:gridSpan w:val="7"/>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4"/>
                <w:szCs w:val="44"/>
                <w:u w:val="none"/>
                <w:lang w:val="en-US" w:eastAsia="zh-CN" w:bidi="ar"/>
              </w:rPr>
              <w:t>财政拨款收入支出决算总表</w:t>
            </w:r>
          </w:p>
        </w:tc>
      </w:tr>
      <w:tr>
        <w:tblPrEx>
          <w:tblCellMar>
            <w:top w:w="0" w:type="dxa"/>
            <w:left w:w="0" w:type="dxa"/>
            <w:bottom w:w="0" w:type="dxa"/>
            <w:right w:w="0" w:type="dxa"/>
          </w:tblCellMar>
        </w:tblPrEx>
        <w:trPr>
          <w:trHeight w:val="90" w:hRule="atLeast"/>
        </w:trPr>
        <w:tc>
          <w:tcPr>
            <w:tcW w:w="6742" w:type="dxa"/>
            <w:gridSpan w:val="2"/>
            <w:vMerge w:val="restart"/>
            <w:tcBorders>
              <w:top w:val="nil"/>
              <w:left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r>
              <w:rPr>
                <w:rFonts w:hint="eastAsia" w:asciiTheme="minorEastAsia" w:hAnsiTheme="minorEastAsia" w:eastAsiaTheme="minorEastAsia" w:cstheme="minorEastAsia"/>
                <w:sz w:val="24"/>
                <w:szCs w:val="24"/>
                <w:lang w:eastAsia="zh-CN"/>
              </w:rPr>
              <w:t>公开单位</w:t>
            </w:r>
            <w:r>
              <w:rPr>
                <w:rFonts w:hint="eastAsia" w:asciiTheme="minorEastAsia" w:hAnsiTheme="minorEastAsia" w:eastAsiaTheme="minorEastAsia" w:cstheme="minorEastAsia"/>
                <w:color w:val="000000"/>
                <w:sz w:val="24"/>
                <w:szCs w:val="24"/>
                <w:lang w:bidi="ar"/>
              </w:rPr>
              <w:t xml:space="preserve">： </w:t>
            </w:r>
            <w:r>
              <w:rPr>
                <w:color w:val="000000"/>
                <w:sz w:val="24"/>
                <w:u w:color="auto"/>
              </w:rPr>
              <w:t>重庆市黔江区城东街道办事处退役军人服务站</w:t>
            </w:r>
          </w:p>
        </w:tc>
        <w:tc>
          <w:tcPr>
            <w:tcW w:w="3752"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2952"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2952"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2952"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3010" w:type="dxa"/>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公开04表</w:t>
            </w:r>
          </w:p>
        </w:tc>
      </w:tr>
      <w:tr>
        <w:tblPrEx>
          <w:tblCellMar>
            <w:top w:w="0" w:type="dxa"/>
            <w:left w:w="0" w:type="dxa"/>
            <w:bottom w:w="0" w:type="dxa"/>
            <w:right w:w="0" w:type="dxa"/>
          </w:tblCellMar>
        </w:tblPrEx>
        <w:trPr>
          <w:trHeight w:val="90" w:hRule="atLeast"/>
        </w:trPr>
        <w:tc>
          <w:tcPr>
            <w:tcW w:w="6742" w:type="dxa"/>
            <w:gridSpan w:val="2"/>
            <w:vMerge w:val="continue"/>
            <w:tcBorders>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3752"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2952"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2952"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2952"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3010" w:type="dxa"/>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r>
              <w:rPr>
                <w:rFonts w:hint="eastAsia" w:ascii="宋体" w:hAnsi="宋体" w:eastAsia="宋体" w:cs="宋体"/>
                <w:sz w:val="24"/>
                <w:szCs w:val="24"/>
              </w:rPr>
              <w:t>万元</w:t>
            </w:r>
          </w:p>
        </w:tc>
      </w:tr>
      <w:tr>
        <w:tblPrEx>
          <w:tblCellMar>
            <w:top w:w="0" w:type="dxa"/>
            <w:left w:w="0" w:type="dxa"/>
            <w:bottom w:w="0" w:type="dxa"/>
            <w:right w:w="0" w:type="dxa"/>
          </w:tblCellMar>
        </w:tblPrEx>
        <w:trPr>
          <w:trHeight w:val="90" w:hRule="atLeast"/>
        </w:trPr>
        <w:tc>
          <w:tcPr>
            <w:tcW w:w="6742" w:type="dxa"/>
            <w:gridSpan w:val="2"/>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收     入</w:t>
            </w:r>
          </w:p>
        </w:tc>
        <w:tc>
          <w:tcPr>
            <w:tcW w:w="15618" w:type="dxa"/>
            <w:gridSpan w:val="5"/>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支     出</w:t>
            </w:r>
          </w:p>
        </w:tc>
      </w:tr>
      <w:tr>
        <w:tblPrEx>
          <w:tblCellMar>
            <w:top w:w="0" w:type="dxa"/>
            <w:left w:w="0" w:type="dxa"/>
            <w:bottom w:w="0" w:type="dxa"/>
            <w:right w:w="0" w:type="dxa"/>
          </w:tblCellMar>
        </w:tblPrEx>
        <w:trPr>
          <w:trHeight w:val="90" w:hRule="atLeast"/>
        </w:trPr>
        <w:tc>
          <w:tcPr>
            <w:tcW w:w="4068"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w:t>
            </w:r>
          </w:p>
        </w:tc>
        <w:tc>
          <w:tcPr>
            <w:tcW w:w="2674"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决算数</w:t>
            </w:r>
          </w:p>
        </w:tc>
        <w:tc>
          <w:tcPr>
            <w:tcW w:w="3752"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功能分类科目</w:t>
            </w:r>
          </w:p>
        </w:tc>
        <w:tc>
          <w:tcPr>
            <w:tcW w:w="11866" w:type="dxa"/>
            <w:gridSpan w:val="4"/>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决算数</w:t>
            </w:r>
          </w:p>
        </w:tc>
      </w:tr>
      <w:tr>
        <w:tblPrEx>
          <w:tblCellMar>
            <w:top w:w="0" w:type="dxa"/>
            <w:left w:w="0" w:type="dxa"/>
            <w:bottom w:w="0" w:type="dxa"/>
            <w:right w:w="0" w:type="dxa"/>
          </w:tblCellMar>
        </w:tblPrEx>
        <w:trPr>
          <w:trHeight w:val="90" w:hRule="atLeast"/>
        </w:trPr>
        <w:tc>
          <w:tcPr>
            <w:tcW w:w="4068"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674"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3752"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9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小计</w:t>
            </w:r>
          </w:p>
        </w:tc>
        <w:tc>
          <w:tcPr>
            <w:tcW w:w="295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一般公共预算财政拨款</w:t>
            </w:r>
          </w:p>
        </w:tc>
        <w:tc>
          <w:tcPr>
            <w:tcW w:w="295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政府性基金预算财政拨款</w:t>
            </w:r>
          </w:p>
        </w:tc>
        <w:tc>
          <w:tcPr>
            <w:tcW w:w="301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国有资本经营预算财政拨款</w:t>
            </w: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一、一般公共预算财政拨款</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54.44</w:t>
            </w:r>
            <w:r>
              <w:rPr>
                <w:rFonts w:hint="eastAsia" w:cs="宋体"/>
                <w:color w:val="000000"/>
                <w:sz w:val="21"/>
                <w:szCs w:val="21"/>
                <w:lang w:val="en-US" w:eastAsia="zh-CN"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一、一般公共服务支出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二、政府性基金预算财政拨款</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二、外交支出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三、国有资本经营预算财政拨款</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三、国防支出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四、公共安全支出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五、教育支出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六、科学技术支出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七、文化旅游体育与传媒支出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八、社会保障和就业支出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48.65</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48.65</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九、卫生健康支出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2.96</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2.96</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十、节能环保支出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十一、城乡社区支出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十二、农林水支出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十三、交通运输支出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十四、资源勘探工业信息等支出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十五、商业服务业等支出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十六、金融支出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十七、援助其他地区支出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十八、自然资源海洋气象等支出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十九、住房保障支出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2.83</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2.83</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二十、粮油物资储备支出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二十一、国有资本经营预算支出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二十二、灾害防治及应急管理支出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二十三、其他支出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ascii="Arial" w:hAnsi="Arial" w:eastAsia="宋体" w:cs="Arial"/>
                <w:i w:val="0"/>
                <w:color w:val="000000"/>
                <w:sz w:val="20"/>
                <w:szCs w:val="20"/>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二十四、债务还本支出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ascii="Arial" w:hAnsi="Arial" w:eastAsia="宋体" w:cs="Arial"/>
                <w:i w:val="0"/>
                <w:color w:val="000000"/>
                <w:sz w:val="20"/>
                <w:szCs w:val="20"/>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二十五、债务付息支出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ascii="Arial" w:hAnsi="Arial" w:eastAsia="宋体" w:cs="Arial"/>
                <w:i w:val="0"/>
                <w:color w:val="000000"/>
                <w:sz w:val="20"/>
                <w:szCs w:val="20"/>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二十六、抗疫特别国债安排的支出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本年收入合计</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54.44</w:t>
            </w:r>
            <w:r>
              <w:rPr>
                <w:rFonts w:hint="eastAsia" w:cs="宋体"/>
                <w:color w:val="000000"/>
                <w:sz w:val="21"/>
                <w:szCs w:val="21"/>
                <w:lang w:val="en-US" w:eastAsia="zh-CN"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本年支出合计</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54.44</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54.44</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年初财政拨款结转和结余</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年末财政拨款结转和结余</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一般公共预算财政拨款</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政府性基金预算财政拨款</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国有资本经营预算财政拨款</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54.44</w:t>
            </w:r>
            <w:r>
              <w:rPr>
                <w:rFonts w:hint="eastAsia" w:cs="宋体"/>
                <w:color w:val="000000"/>
                <w:sz w:val="21"/>
                <w:szCs w:val="21"/>
                <w:lang w:val="en-US" w:eastAsia="zh-CN"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0"/>
                <w:szCs w:val="20"/>
                <w:u w:val="none"/>
                <w:lang w:val="en-US" w:eastAsia="zh-CN"/>
              </w:rPr>
            </w:pPr>
            <w:r>
              <w:rPr>
                <w:rFonts w:hint="eastAsia" w:ascii="宋体" w:hAnsi="宋体" w:eastAsia="宋体" w:cs="宋体"/>
                <w:color w:val="000000"/>
                <w:sz w:val="21"/>
                <w:szCs w:val="21"/>
                <w:lang w:bidi="ar"/>
              </w:rPr>
              <w:t>54.44</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0"/>
                <w:szCs w:val="20"/>
                <w:u w:val="none"/>
                <w:lang w:val="en-US" w:eastAsia="zh-CN"/>
              </w:rPr>
            </w:pPr>
            <w:r>
              <w:rPr>
                <w:rFonts w:hint="eastAsia" w:ascii="宋体" w:hAnsi="宋体" w:eastAsia="宋体" w:cs="宋体"/>
                <w:color w:val="000000"/>
                <w:sz w:val="21"/>
                <w:szCs w:val="21"/>
                <w:lang w:bidi="ar"/>
              </w:rPr>
              <w:t>54.44</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0"/>
                <w:szCs w:val="20"/>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bl>
    <w:p>
      <w:pPr>
        <w:rPr>
          <w:rFonts w:hint="eastAsia" w:ascii="宋体" w:hAnsi="宋体" w:eastAsia="宋体" w:cs="宋体"/>
          <w:sz w:val="21"/>
          <w:szCs w:val="21"/>
        </w:rPr>
      </w:pPr>
      <w:r>
        <w:rPr>
          <w:rFonts w:hint="eastAsia" w:ascii="宋体" w:hAnsi="宋体" w:eastAsia="宋体" w:cs="宋体"/>
          <w:b w:val="0"/>
          <w:bCs w:val="0"/>
          <w:i w:val="0"/>
          <w:iCs w:val="0"/>
          <w:color w:val="auto"/>
          <w:kern w:val="0"/>
          <w:sz w:val="21"/>
          <w:szCs w:val="21"/>
          <w:u w:val="none"/>
          <w:shd w:val="clear" w:color="auto" w:fill="auto"/>
          <w:lang w:val="en-US" w:eastAsia="zh-CN" w:bidi="ar"/>
        </w:rPr>
        <w:t>备注：1.本表反映单位本年度一般公共预算财政拨款、政府性基金预算财政拨款及国有资本经营预算财政拨款的总收支和年末结转结余情况。</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b w:val="0"/>
          <w:bCs w:val="0"/>
          <w:i w:val="0"/>
          <w:iCs w:val="0"/>
          <w:color w:val="auto"/>
          <w:kern w:val="0"/>
          <w:sz w:val="21"/>
          <w:szCs w:val="21"/>
          <w:u w:val="none"/>
          <w:shd w:val="clear" w:color="auto" w:fill="auto"/>
          <w:lang w:val="en-US" w:eastAsia="zh-CN" w:bidi="ar"/>
        </w:rPr>
        <w:t xml:space="preserve">      2.本套报表金额单位转换时可能存在尾数误差。</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sz w:val="21"/>
          <w:szCs w:val="21"/>
        </w:rPr>
        <w:br w:type="textWrapping"/>
      </w:r>
    </w:p>
    <w:p>
      <w:pPr>
        <w:rPr>
          <w:rFonts w:hint="eastAsia" w:ascii="宋体" w:hAnsi="宋体" w:eastAsia="宋体" w:cs="宋体"/>
          <w:sz w:val="21"/>
          <w:szCs w:val="21"/>
        </w:rPr>
      </w:pPr>
      <w:r>
        <w:rPr>
          <w:rFonts w:hint="eastAsia" w:ascii="宋体" w:hAnsi="宋体" w:eastAsia="宋体" w:cs="宋体"/>
          <w:sz w:val="21"/>
          <w:szCs w:val="21"/>
        </w:rPr>
        <w:br w:type="page"/>
      </w:r>
    </w:p>
    <w:tbl>
      <w:tblPr>
        <w:tblStyle w:val="6"/>
        <w:tblW w:w="22300" w:type="dxa"/>
        <w:tblInd w:w="0" w:type="dxa"/>
        <w:shd w:val="clear" w:color="auto" w:fill="auto"/>
        <w:tblLayout w:type="fixed"/>
        <w:tblCellMar>
          <w:top w:w="0" w:type="dxa"/>
          <w:left w:w="0" w:type="dxa"/>
          <w:bottom w:w="0" w:type="dxa"/>
          <w:right w:w="0" w:type="dxa"/>
        </w:tblCellMar>
      </w:tblPr>
      <w:tblGrid>
        <w:gridCol w:w="2694"/>
        <w:gridCol w:w="5151"/>
        <w:gridCol w:w="4817"/>
        <w:gridCol w:w="4817"/>
        <w:gridCol w:w="4821"/>
      </w:tblGrid>
      <w:tr>
        <w:tblPrEx>
          <w:tblCellMar>
            <w:top w:w="0" w:type="dxa"/>
            <w:left w:w="0" w:type="dxa"/>
            <w:bottom w:w="0" w:type="dxa"/>
            <w:right w:w="0" w:type="dxa"/>
          </w:tblCellMar>
        </w:tblPrEx>
        <w:trPr>
          <w:trHeight w:val="510" w:hRule="atLeast"/>
        </w:trPr>
        <w:tc>
          <w:tcPr>
            <w:tcW w:w="22300" w:type="dxa"/>
            <w:gridSpan w:val="5"/>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4"/>
                <w:szCs w:val="44"/>
                <w:u w:val="none"/>
                <w:lang w:val="en-US" w:eastAsia="zh-CN" w:bidi="ar"/>
              </w:rPr>
              <w:t>一般公共预算财政拨款支出决算表</w:t>
            </w:r>
          </w:p>
        </w:tc>
      </w:tr>
      <w:tr>
        <w:tblPrEx>
          <w:tblCellMar>
            <w:top w:w="0" w:type="dxa"/>
            <w:left w:w="0" w:type="dxa"/>
            <w:bottom w:w="0" w:type="dxa"/>
            <w:right w:w="0" w:type="dxa"/>
          </w:tblCellMar>
        </w:tblPrEx>
        <w:trPr>
          <w:trHeight w:val="255" w:hRule="atLeast"/>
        </w:trPr>
        <w:tc>
          <w:tcPr>
            <w:tcW w:w="7845" w:type="dxa"/>
            <w:gridSpan w:val="2"/>
            <w:vMerge w:val="restart"/>
            <w:tcBorders>
              <w:top w:val="nil"/>
              <w:left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r>
              <w:rPr>
                <w:rFonts w:hint="eastAsia" w:asciiTheme="minorEastAsia" w:hAnsiTheme="minorEastAsia" w:eastAsiaTheme="minorEastAsia" w:cstheme="minorEastAsia"/>
                <w:sz w:val="24"/>
                <w:szCs w:val="24"/>
                <w:lang w:eastAsia="zh-CN"/>
              </w:rPr>
              <w:t>公开单位</w:t>
            </w:r>
            <w:r>
              <w:rPr>
                <w:rFonts w:hint="eastAsia" w:asciiTheme="minorEastAsia" w:hAnsiTheme="minorEastAsia" w:eastAsiaTheme="minorEastAsia" w:cstheme="minorEastAsia"/>
                <w:color w:val="000000"/>
                <w:sz w:val="24"/>
                <w:szCs w:val="24"/>
                <w:lang w:bidi="ar"/>
              </w:rPr>
              <w:t xml:space="preserve">： </w:t>
            </w:r>
            <w:r>
              <w:rPr>
                <w:color w:val="000000"/>
                <w:sz w:val="24"/>
                <w:u w:color="auto"/>
              </w:rPr>
              <w:t>重庆市黔江区城东街道办事处退役军人服务站</w:t>
            </w:r>
          </w:p>
        </w:tc>
        <w:tc>
          <w:tcPr>
            <w:tcW w:w="4817"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4817"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4821" w:type="dxa"/>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公开05表</w:t>
            </w:r>
          </w:p>
        </w:tc>
      </w:tr>
      <w:tr>
        <w:tblPrEx>
          <w:tblCellMar>
            <w:top w:w="0" w:type="dxa"/>
            <w:left w:w="0" w:type="dxa"/>
            <w:bottom w:w="0" w:type="dxa"/>
            <w:right w:w="0" w:type="dxa"/>
          </w:tblCellMar>
        </w:tblPrEx>
        <w:trPr>
          <w:trHeight w:val="285" w:hRule="atLeast"/>
        </w:trPr>
        <w:tc>
          <w:tcPr>
            <w:tcW w:w="7845" w:type="dxa"/>
            <w:gridSpan w:val="2"/>
            <w:vMerge w:val="continue"/>
            <w:tcBorders>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4817"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4817"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4821" w:type="dxa"/>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r>
              <w:rPr>
                <w:rFonts w:hint="eastAsia" w:ascii="宋体" w:hAnsi="宋体" w:eastAsia="宋体" w:cs="宋体"/>
                <w:sz w:val="24"/>
                <w:szCs w:val="24"/>
              </w:rPr>
              <w:t>万元</w:t>
            </w:r>
          </w:p>
        </w:tc>
      </w:tr>
      <w:tr>
        <w:tblPrEx>
          <w:tblCellMar>
            <w:top w:w="0" w:type="dxa"/>
            <w:left w:w="0" w:type="dxa"/>
            <w:bottom w:w="0" w:type="dxa"/>
            <w:right w:w="0" w:type="dxa"/>
          </w:tblCellMar>
        </w:tblPrEx>
        <w:trPr>
          <w:trHeight w:val="308" w:hRule="atLeast"/>
        </w:trPr>
        <w:tc>
          <w:tcPr>
            <w:tcW w:w="7845" w:type="dxa"/>
            <w:gridSpan w:val="2"/>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w:t>
            </w:r>
          </w:p>
        </w:tc>
        <w:tc>
          <w:tcPr>
            <w:tcW w:w="14455" w:type="dxa"/>
            <w:gridSpan w:val="3"/>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w:t>
            </w:r>
          </w:p>
        </w:tc>
      </w:tr>
      <w:tr>
        <w:tblPrEx>
          <w:tblCellMar>
            <w:top w:w="0" w:type="dxa"/>
            <w:left w:w="0" w:type="dxa"/>
            <w:bottom w:w="0" w:type="dxa"/>
            <w:right w:w="0" w:type="dxa"/>
          </w:tblCellMar>
        </w:tblPrEx>
        <w:trPr>
          <w:trHeight w:val="308" w:hRule="atLeast"/>
        </w:trPr>
        <w:tc>
          <w:tcPr>
            <w:tcW w:w="2694"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功能分类科目编码</w:t>
            </w:r>
          </w:p>
        </w:tc>
        <w:tc>
          <w:tcPr>
            <w:tcW w:w="5151"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项目（按“项”级功能分类科目）</w:t>
            </w:r>
          </w:p>
        </w:tc>
        <w:tc>
          <w:tcPr>
            <w:tcW w:w="4817"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合计</w:t>
            </w:r>
          </w:p>
        </w:tc>
        <w:tc>
          <w:tcPr>
            <w:tcW w:w="4817"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基本支出</w:t>
            </w:r>
          </w:p>
        </w:tc>
        <w:tc>
          <w:tcPr>
            <w:tcW w:w="4821"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项目支出</w:t>
            </w:r>
          </w:p>
        </w:tc>
      </w:tr>
      <w:tr>
        <w:tblPrEx>
          <w:tblCellMar>
            <w:top w:w="0" w:type="dxa"/>
            <w:left w:w="0" w:type="dxa"/>
            <w:bottom w:w="0" w:type="dxa"/>
            <w:right w:w="0" w:type="dxa"/>
          </w:tblCellMar>
        </w:tblPrEx>
        <w:trPr>
          <w:trHeight w:val="278" w:hRule="atLeast"/>
        </w:trPr>
        <w:tc>
          <w:tcPr>
            <w:tcW w:w="2694"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5151"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4817"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4817"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4821"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r>
      <w:tr>
        <w:tblPrEx>
          <w:tblCellMar>
            <w:top w:w="0" w:type="dxa"/>
            <w:left w:w="0" w:type="dxa"/>
            <w:bottom w:w="0" w:type="dxa"/>
            <w:right w:w="0" w:type="dxa"/>
          </w:tblCellMar>
        </w:tblPrEx>
        <w:trPr>
          <w:trHeight w:val="615" w:hRule="atLeast"/>
        </w:trPr>
        <w:tc>
          <w:tcPr>
            <w:tcW w:w="2694"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5151"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4817"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4817"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4821"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r>
      <w:tr>
        <w:tblPrEx>
          <w:tblCellMar>
            <w:top w:w="0" w:type="dxa"/>
            <w:left w:w="0" w:type="dxa"/>
            <w:bottom w:w="0" w:type="dxa"/>
            <w:right w:w="0" w:type="dxa"/>
          </w:tblCellMar>
        </w:tblPrEx>
        <w:trPr>
          <w:trHeight w:val="308" w:hRule="atLeast"/>
        </w:trPr>
        <w:tc>
          <w:tcPr>
            <w:tcW w:w="7845" w:type="dxa"/>
            <w:gridSpan w:val="2"/>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合计</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color w:val="000000"/>
                <w:sz w:val="21"/>
                <w:szCs w:val="21"/>
                <w:lang w:bidi="ar"/>
              </w:rPr>
              <w:t>54.44</w:t>
            </w:r>
            <w:r>
              <w:rPr>
                <w:rFonts w:hint="eastAsia" w:cs="宋体"/>
                <w:b/>
                <w:bCs/>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color w:val="000000"/>
                <w:sz w:val="21"/>
                <w:szCs w:val="21"/>
                <w:lang w:bidi="ar"/>
              </w:rPr>
              <w:t>54.44</w:t>
            </w:r>
            <w:r>
              <w:rPr>
                <w:rFonts w:hint="eastAsia" w:cs="宋体"/>
                <w:b/>
                <w:bCs/>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208</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社会保障和就业支出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48.65</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48.65</w:t>
            </w:r>
            <w:r>
              <w:rPr>
                <w:rFonts w:hint="eastAsia" w:cs="宋体"/>
                <w:b/>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20805</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行政事业单位养老支出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8.54</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8.54</w:t>
            </w:r>
            <w:r>
              <w:rPr>
                <w:rFonts w:hint="eastAsia" w:cs="宋体"/>
                <w:b/>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2080505</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机关事业单位基本养老保险缴费支出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5.54</w:t>
            </w:r>
            <w:r>
              <w:rPr>
                <w:rFonts w:hint="eastAsia" w:cs="宋体"/>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5.54</w:t>
            </w: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2080506</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机关事业单位职业年金缴费支出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3.00</w:t>
            </w:r>
            <w:r>
              <w:rPr>
                <w:rFonts w:hint="eastAsia" w:cs="宋体"/>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3.00</w:t>
            </w: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20828</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退役军人管理事务</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40.11</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40.11</w:t>
            </w:r>
            <w:r>
              <w:rPr>
                <w:rFonts w:hint="eastAsia" w:cs="宋体"/>
                <w:b/>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2082850</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事业运行</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40.11</w:t>
            </w:r>
            <w:r>
              <w:rPr>
                <w:rFonts w:hint="eastAsia" w:cs="宋体"/>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40.11</w:t>
            </w: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210</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卫生健康支出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2.96</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2.96</w:t>
            </w:r>
            <w:r>
              <w:rPr>
                <w:rFonts w:hint="eastAsia" w:cs="宋体"/>
                <w:b/>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21011</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行政事业单位医疗</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2.96</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2.96</w:t>
            </w:r>
            <w:r>
              <w:rPr>
                <w:rFonts w:hint="eastAsia" w:cs="宋体"/>
                <w:b/>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2101102</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事业单位医疗</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2.24</w:t>
            </w:r>
            <w:r>
              <w:rPr>
                <w:rFonts w:hint="eastAsia" w:cs="宋体"/>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2.24</w:t>
            </w: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2101199</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其他行政事业单位医疗支出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0.72</w:t>
            </w:r>
            <w:r>
              <w:rPr>
                <w:rFonts w:hint="eastAsia" w:cs="宋体"/>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0.72</w:t>
            </w: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221</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住房保障支出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2.83</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2.83</w:t>
            </w:r>
            <w:r>
              <w:rPr>
                <w:rFonts w:hint="eastAsia" w:cs="宋体"/>
                <w:b/>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22102</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住房改革支出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2.83</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2.83</w:t>
            </w:r>
            <w:r>
              <w:rPr>
                <w:rFonts w:hint="eastAsia" w:cs="宋体"/>
                <w:b/>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2210201</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住房公积金</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2.83</w:t>
            </w:r>
            <w:r>
              <w:rPr>
                <w:rFonts w:hint="eastAsia" w:cs="宋体"/>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2.83</w:t>
            </w: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bl>
    <w:p>
      <w:pPr>
        <w:rPr>
          <w:rFonts w:hint="eastAsia" w:ascii="宋体" w:hAnsi="宋体" w:eastAsia="宋体" w:cs="宋体"/>
          <w:sz w:val="21"/>
          <w:szCs w:val="21"/>
        </w:rPr>
      </w:pPr>
      <w:r>
        <w:rPr>
          <w:rFonts w:hint="eastAsia" w:ascii="宋体" w:hAnsi="宋体" w:eastAsia="宋体" w:cs="宋体"/>
          <w:b w:val="0"/>
          <w:bCs w:val="0"/>
          <w:i w:val="0"/>
          <w:iCs w:val="0"/>
          <w:color w:val="auto"/>
          <w:kern w:val="0"/>
          <w:sz w:val="21"/>
          <w:szCs w:val="21"/>
          <w:u w:val="none"/>
          <w:shd w:val="clear" w:color="auto" w:fill="auto"/>
          <w:lang w:val="en-US" w:eastAsia="zh-CN" w:bidi="ar"/>
        </w:rPr>
        <w:t>备注：1.本表反映单位本年度一般公共预算财政拨款支出情况。</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b w:val="0"/>
          <w:bCs w:val="0"/>
          <w:i w:val="0"/>
          <w:iCs w:val="0"/>
          <w:color w:val="auto"/>
          <w:kern w:val="0"/>
          <w:sz w:val="21"/>
          <w:szCs w:val="21"/>
          <w:u w:val="none"/>
          <w:shd w:val="clear" w:color="auto" w:fill="auto"/>
          <w:lang w:val="en-US" w:eastAsia="zh-CN" w:bidi="ar"/>
        </w:rPr>
        <w:t xml:space="preserve">      2.本套报表金额单位转换时可能存在尾数误差。</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sz w:val="21"/>
          <w:szCs w:val="21"/>
        </w:rPr>
        <w:br w:type="textWrapping"/>
      </w:r>
    </w:p>
    <w:p>
      <w:pPr>
        <w:numPr>
          <w:ilvl w:val="0"/>
          <w:numId w:val="0"/>
        </w:numPr>
        <w:ind w:firstLine="630" w:firstLineChars="300"/>
        <w:rPr>
          <w:rFonts w:hint="eastAsia" w:ascii="宋体" w:hAnsi="宋体" w:eastAsia="宋体" w:cs="宋体"/>
          <w:sz w:val="21"/>
          <w:szCs w:val="21"/>
        </w:rPr>
      </w:pPr>
      <w:r>
        <w:rPr>
          <w:rFonts w:hint="eastAsia" w:ascii="宋体" w:hAnsi="宋体" w:eastAsia="宋体" w:cs="宋体"/>
          <w:sz w:val="21"/>
          <w:szCs w:val="21"/>
        </w:rPr>
        <w:br w:type="page"/>
      </w:r>
    </w:p>
    <w:tbl>
      <w:tblPr>
        <w:tblStyle w:val="6"/>
        <w:tblW w:w="22280" w:type="dxa"/>
        <w:tblInd w:w="0" w:type="dxa"/>
        <w:shd w:val="clear" w:color="auto" w:fill="auto"/>
        <w:tblLayout w:type="fixed"/>
        <w:tblCellMar>
          <w:top w:w="0" w:type="dxa"/>
          <w:left w:w="0" w:type="dxa"/>
          <w:bottom w:w="0" w:type="dxa"/>
          <w:right w:w="0" w:type="dxa"/>
        </w:tblCellMar>
      </w:tblPr>
      <w:tblGrid>
        <w:gridCol w:w="1289"/>
        <w:gridCol w:w="3495"/>
        <w:gridCol w:w="2829"/>
        <w:gridCol w:w="1122"/>
        <w:gridCol w:w="2330"/>
        <w:gridCol w:w="2747"/>
        <w:gridCol w:w="1509"/>
        <w:gridCol w:w="4465"/>
        <w:gridCol w:w="2494"/>
      </w:tblGrid>
      <w:tr>
        <w:tblPrEx>
          <w:shd w:val="clear" w:color="auto" w:fill="auto"/>
          <w:tblCellMar>
            <w:top w:w="0" w:type="dxa"/>
            <w:left w:w="0" w:type="dxa"/>
            <w:bottom w:w="0" w:type="dxa"/>
            <w:right w:w="0" w:type="dxa"/>
          </w:tblCellMar>
        </w:tblPrEx>
        <w:trPr>
          <w:trHeight w:val="590" w:hRule="atLeast"/>
        </w:trPr>
        <w:tc>
          <w:tcPr>
            <w:tcW w:w="22280" w:type="dxa"/>
            <w:gridSpan w:val="9"/>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4"/>
                <w:szCs w:val="44"/>
                <w:u w:val="none"/>
                <w:lang w:val="en-US" w:eastAsia="zh-CN" w:bidi="ar"/>
              </w:rPr>
              <w:t>一般公共预算财政拨款基本支出决算表</w:t>
            </w:r>
          </w:p>
        </w:tc>
      </w:tr>
      <w:tr>
        <w:tblPrEx>
          <w:shd w:val="clear" w:color="auto" w:fill="auto"/>
          <w:tblCellMar>
            <w:top w:w="0" w:type="dxa"/>
            <w:left w:w="0" w:type="dxa"/>
            <w:bottom w:w="0" w:type="dxa"/>
            <w:right w:w="0" w:type="dxa"/>
          </w:tblCellMar>
        </w:tblPrEx>
        <w:trPr>
          <w:trHeight w:val="302" w:hRule="atLeast"/>
        </w:trPr>
        <w:tc>
          <w:tcPr>
            <w:tcW w:w="4784" w:type="dxa"/>
            <w:gridSpan w:val="2"/>
            <w:vMerge w:val="restart"/>
            <w:tcBorders>
              <w:top w:val="nil"/>
              <w:left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r>
              <w:rPr>
                <w:rFonts w:hint="eastAsia" w:asciiTheme="minorEastAsia" w:hAnsiTheme="minorEastAsia" w:eastAsiaTheme="minorEastAsia" w:cstheme="minorEastAsia"/>
                <w:sz w:val="24"/>
                <w:szCs w:val="24"/>
                <w:lang w:eastAsia="zh-CN"/>
              </w:rPr>
              <w:t>公开单位</w:t>
            </w:r>
            <w:r>
              <w:rPr>
                <w:rFonts w:hint="eastAsia" w:asciiTheme="minorEastAsia" w:hAnsiTheme="minorEastAsia" w:eastAsiaTheme="minorEastAsia" w:cstheme="minorEastAsia"/>
                <w:color w:val="000000"/>
                <w:sz w:val="24"/>
                <w:szCs w:val="24"/>
                <w:lang w:bidi="ar"/>
              </w:rPr>
              <w:t xml:space="preserve">： </w:t>
            </w:r>
            <w:r>
              <w:rPr>
                <w:color w:val="000000"/>
                <w:sz w:val="24"/>
                <w:u w:color="auto"/>
              </w:rPr>
              <w:t>重庆市黔江区城东街道办事处退役军人服务站</w:t>
            </w:r>
          </w:p>
        </w:tc>
        <w:tc>
          <w:tcPr>
            <w:tcW w:w="2829"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1122"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233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2747"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1509"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446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2494" w:type="dxa"/>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公开06表</w:t>
            </w:r>
          </w:p>
        </w:tc>
      </w:tr>
      <w:tr>
        <w:tblPrEx>
          <w:shd w:val="clear" w:color="auto" w:fill="auto"/>
          <w:tblCellMar>
            <w:top w:w="0" w:type="dxa"/>
            <w:left w:w="0" w:type="dxa"/>
            <w:bottom w:w="0" w:type="dxa"/>
            <w:right w:w="0" w:type="dxa"/>
          </w:tblCellMar>
        </w:tblPrEx>
        <w:trPr>
          <w:trHeight w:val="302" w:hRule="atLeast"/>
        </w:trPr>
        <w:tc>
          <w:tcPr>
            <w:tcW w:w="4784" w:type="dxa"/>
            <w:gridSpan w:val="2"/>
            <w:vMerge w:val="continue"/>
            <w:tcBorders>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2829"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1122"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2330"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2747"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1509"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446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2494" w:type="dxa"/>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r>
              <w:rPr>
                <w:rFonts w:hint="eastAsia" w:ascii="宋体" w:hAnsi="宋体" w:eastAsia="宋体" w:cs="宋体"/>
                <w:sz w:val="24"/>
                <w:szCs w:val="24"/>
              </w:rPr>
              <w:t>万元</w:t>
            </w:r>
          </w:p>
        </w:tc>
      </w:tr>
      <w:tr>
        <w:tblPrEx>
          <w:shd w:val="clear" w:color="auto" w:fill="auto"/>
          <w:tblCellMar>
            <w:top w:w="0" w:type="dxa"/>
            <w:left w:w="0" w:type="dxa"/>
            <w:bottom w:w="0" w:type="dxa"/>
            <w:right w:w="0" w:type="dxa"/>
          </w:tblCellMar>
        </w:tblPrEx>
        <w:trPr>
          <w:trHeight w:val="311" w:hRule="atLeast"/>
        </w:trPr>
        <w:tc>
          <w:tcPr>
            <w:tcW w:w="7613" w:type="dxa"/>
            <w:gridSpan w:val="3"/>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人员经费</w:t>
            </w:r>
          </w:p>
        </w:tc>
        <w:tc>
          <w:tcPr>
            <w:tcW w:w="14667" w:type="dxa"/>
            <w:gridSpan w:val="6"/>
            <w:tcBorders>
              <w:top w:val="single" w:color="000000" w:sz="4" w:space="0"/>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公用经费</w:t>
            </w:r>
          </w:p>
        </w:tc>
      </w:tr>
      <w:tr>
        <w:tblPrEx>
          <w:shd w:val="clear" w:color="auto" w:fill="auto"/>
          <w:tblCellMar>
            <w:top w:w="0" w:type="dxa"/>
            <w:left w:w="0" w:type="dxa"/>
            <w:bottom w:w="0" w:type="dxa"/>
            <w:right w:w="0" w:type="dxa"/>
          </w:tblCellMar>
        </w:tblPrEx>
        <w:trPr>
          <w:trHeight w:val="312" w:hRule="atLeast"/>
        </w:trPr>
        <w:tc>
          <w:tcPr>
            <w:tcW w:w="1289"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经济分类科目编码</w:t>
            </w:r>
          </w:p>
        </w:tc>
        <w:tc>
          <w:tcPr>
            <w:tcW w:w="3495"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经济分类科目（按“款”级功能分类科目）</w:t>
            </w:r>
          </w:p>
        </w:tc>
        <w:tc>
          <w:tcPr>
            <w:tcW w:w="2829"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cs="宋体"/>
                <w:b/>
                <w:i w:val="0"/>
                <w:color w:val="000000"/>
                <w:kern w:val="0"/>
                <w:sz w:val="22"/>
                <w:szCs w:val="22"/>
                <w:u w:val="none"/>
                <w:lang w:val="en-US" w:eastAsia="zh-CN" w:bidi="ar"/>
              </w:rPr>
              <w:t>金额</w:t>
            </w:r>
          </w:p>
        </w:tc>
        <w:tc>
          <w:tcPr>
            <w:tcW w:w="1122"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经济分类科目编码</w:t>
            </w:r>
          </w:p>
        </w:tc>
        <w:tc>
          <w:tcPr>
            <w:tcW w:w="2330"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经济分类科目（按“款”级功能分类科目）</w:t>
            </w:r>
          </w:p>
        </w:tc>
        <w:tc>
          <w:tcPr>
            <w:tcW w:w="2747"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cs="宋体"/>
                <w:b/>
                <w:i w:val="0"/>
                <w:color w:val="000000"/>
                <w:kern w:val="0"/>
                <w:sz w:val="22"/>
                <w:szCs w:val="22"/>
                <w:u w:val="none"/>
                <w:lang w:val="en-US" w:eastAsia="zh-CN" w:bidi="ar"/>
              </w:rPr>
              <w:t>金额</w:t>
            </w:r>
          </w:p>
        </w:tc>
        <w:tc>
          <w:tcPr>
            <w:tcW w:w="1509"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经济分类科目编码</w:t>
            </w:r>
          </w:p>
        </w:tc>
        <w:tc>
          <w:tcPr>
            <w:tcW w:w="4465"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经济分类科目（按“款”级功能分类科目）</w:t>
            </w:r>
          </w:p>
        </w:tc>
        <w:tc>
          <w:tcPr>
            <w:tcW w:w="2494"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cs="宋体"/>
                <w:b/>
                <w:i w:val="0"/>
                <w:color w:val="000000"/>
                <w:kern w:val="0"/>
                <w:sz w:val="22"/>
                <w:szCs w:val="22"/>
                <w:u w:val="none"/>
                <w:lang w:val="en-US" w:eastAsia="zh-CN" w:bidi="ar"/>
              </w:rPr>
              <w:t>金额</w:t>
            </w:r>
          </w:p>
        </w:tc>
      </w:tr>
      <w:tr>
        <w:tblPrEx>
          <w:shd w:val="clear" w:color="auto" w:fill="auto"/>
          <w:tblCellMar>
            <w:top w:w="0" w:type="dxa"/>
            <w:left w:w="0" w:type="dxa"/>
            <w:bottom w:w="0" w:type="dxa"/>
            <w:right w:w="0" w:type="dxa"/>
          </w:tblCellMar>
        </w:tblPrEx>
        <w:trPr>
          <w:trHeight w:val="799" w:hRule="atLeast"/>
        </w:trPr>
        <w:tc>
          <w:tcPr>
            <w:tcW w:w="1289"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3495"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829"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122"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33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747"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509"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4465"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494"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工资福利支出</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50.77</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商品和服务支出</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3.67</w:t>
            </w: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资本性支出</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30101</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基本工资</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11.15</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30201</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办公费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31001</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房屋建筑物购建</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30102</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津贴补贴</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1.01</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30202</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印刷费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31002</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办公设备购置</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30103</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奖金</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30203</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咨询费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31003</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专用设备购置</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30106</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伙食补助费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2.00</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30204</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手续费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31005</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基础设施建设</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30107</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绩效工资</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22.21</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30205</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水费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31006</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大型修缮</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33"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30108</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机关事业单位基本养老保险缴费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5.54</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30206</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电费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31007</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信息网络及软件购置更新</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30109</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职业年金缴费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3.00</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30207</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邮电费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31008</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物资储备</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64"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30110</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职工基本医疗保险缴费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2.24</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30208</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取暖费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31009</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土地补偿</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30111</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公务员医疗补助缴费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30209</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物业管理费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31010</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安置补助</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33"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30112</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其他社会保障缴费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0.07</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30211</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差旅费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31011</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地上附着物和青苗补偿</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30113</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住房公积金</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2.83</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30212</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因公出国（境）费用</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31012</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拆迁补偿</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30114</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医疗费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0.72</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30213</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维修（护）费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31013</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公务用车购置</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30199</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其他工资福利支出</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30214</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租赁费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31019</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其他交通工具购置</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对个人和家庭的补助</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30215</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会议费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31021</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文物和陈列品购置</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30301</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离休费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30216</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培训费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0.35</w:t>
            </w: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31022</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无形资产购置</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30302</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退休费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30217</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公务接待费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31099</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其他资本性支出</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30303</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退职（役）费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30218</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专用材料费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312</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对企业补助</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30304</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抚恤金</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30224</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被装购置费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31201</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资本金注入</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30305</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生活补助</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30225</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专用燃料费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31203</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政府投资基金股权投资</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30306</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救济费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30226</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劳务费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2.56</w:t>
            </w: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31204</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费用补贴</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30307</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医疗费补助</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30227</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委托业务费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31205</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利息补贴</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30308</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助学金</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30228</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工会经费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0.28</w:t>
            </w: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31299</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其他对企业补助</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30309</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奖励金</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30229</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福利费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0.47</w:t>
            </w: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其他支出</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30310</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个人农业生产补贴</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30231</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公务用车运行维护费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39907</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国家赔偿费用支出</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30311</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代缴社会保险费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30239</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其他交通费用</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39908</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对民间非营利组织和群众性自治组织补贴</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30399</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其他对个人和家庭的补助</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30240</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税金及附加费用</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39909</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经常性赠与</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30299</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其他商品和服务支出</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39910</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资本性赠与</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307</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债务利息及费用支出</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39999</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其他支出</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30701</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国内债务付息</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30702</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国外债务付息</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30703</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国内债务发行费用</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30704</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国外债务发行费用</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321" w:hRule="atLeast"/>
        </w:trPr>
        <w:tc>
          <w:tcPr>
            <w:tcW w:w="4784" w:type="dxa"/>
            <w:gridSpan w:val="2"/>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人员经费合计</w:t>
            </w:r>
          </w:p>
        </w:tc>
        <w:tc>
          <w:tcPr>
            <w:tcW w:w="2829"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ascii="宋体" w:hAnsi="宋体" w:eastAsia="宋体" w:cs="宋体"/>
                <w:color w:val="000000"/>
                <w:sz w:val="21"/>
                <w:szCs w:val="21"/>
                <w:lang w:bidi="ar"/>
              </w:rPr>
              <w:t>50.77</w:t>
            </w:r>
            <w:r>
              <w:rPr>
                <w:rFonts w:hint="eastAsia" w:cs="宋体"/>
                <w:color w:val="000000"/>
                <w:sz w:val="21"/>
                <w:szCs w:val="21"/>
                <w:lang w:val="en-US" w:eastAsia="zh-CN" w:bidi="ar"/>
              </w:rPr>
              <w:t xml:space="preserve"> </w:t>
            </w:r>
          </w:p>
        </w:tc>
        <w:tc>
          <w:tcPr>
            <w:tcW w:w="12173" w:type="dxa"/>
            <w:gridSpan w:val="5"/>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公用经费合计</w:t>
            </w:r>
          </w:p>
        </w:tc>
        <w:tc>
          <w:tcPr>
            <w:tcW w:w="249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3.67</w:t>
            </w:r>
            <w:r>
              <w:rPr>
                <w:rFonts w:hint="eastAsia" w:cs="宋体"/>
                <w:color w:val="000000"/>
                <w:sz w:val="21"/>
                <w:szCs w:val="21"/>
                <w:lang w:val="en-US" w:eastAsia="zh-CN" w:bidi="ar"/>
              </w:rPr>
              <w:t xml:space="preserve"> </w:t>
            </w:r>
          </w:p>
        </w:tc>
      </w:tr>
    </w:tbl>
    <w:p>
      <w:pPr>
        <w:rPr>
          <w:rFonts w:hint="eastAsia" w:ascii="宋体" w:hAnsi="宋体" w:eastAsia="宋体" w:cs="宋体"/>
          <w:sz w:val="21"/>
          <w:szCs w:val="21"/>
        </w:rPr>
      </w:pPr>
      <w:r>
        <w:rPr>
          <w:rFonts w:hint="eastAsia" w:ascii="宋体" w:hAnsi="宋体" w:eastAsia="宋体" w:cs="宋体"/>
          <w:b w:val="0"/>
          <w:bCs w:val="0"/>
          <w:i w:val="0"/>
          <w:iCs w:val="0"/>
          <w:color w:val="auto"/>
          <w:kern w:val="0"/>
          <w:sz w:val="21"/>
          <w:szCs w:val="21"/>
          <w:u w:val="none"/>
          <w:shd w:val="clear" w:color="auto" w:fill="auto"/>
          <w:lang w:val="en-US" w:eastAsia="zh-CN" w:bidi="ar"/>
        </w:rPr>
        <w:t>备注：1.本表反映单位本年度一般公共预算财政拨款基本支出明细情况。</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b w:val="0"/>
          <w:bCs w:val="0"/>
          <w:i w:val="0"/>
          <w:iCs w:val="0"/>
          <w:color w:val="auto"/>
          <w:kern w:val="0"/>
          <w:sz w:val="21"/>
          <w:szCs w:val="21"/>
          <w:u w:val="none"/>
          <w:shd w:val="clear" w:color="auto" w:fill="auto"/>
          <w:lang w:val="en-US" w:eastAsia="zh-CN" w:bidi="ar"/>
        </w:rPr>
        <w:t xml:space="preserve">      2.本套报表金额单位转换时可能存在尾数误差。</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sz w:val="21"/>
          <w:szCs w:val="21"/>
        </w:rPr>
        <w:br w:type="textWrapping"/>
      </w:r>
    </w:p>
    <w:p>
      <w:pPr>
        <w:rPr>
          <w:rFonts w:hint="eastAsia" w:ascii="宋体" w:hAnsi="宋体" w:eastAsia="宋体" w:cs="宋体"/>
          <w:sz w:val="21"/>
          <w:szCs w:val="21"/>
        </w:rPr>
      </w:pPr>
      <w:r>
        <w:rPr>
          <w:rFonts w:hint="eastAsia" w:ascii="宋体" w:hAnsi="宋体" w:eastAsia="宋体" w:cs="宋体"/>
          <w:sz w:val="21"/>
          <w:szCs w:val="21"/>
        </w:rPr>
        <w:br w:type="page"/>
      </w:r>
    </w:p>
    <w:tbl>
      <w:tblPr>
        <w:tblStyle w:val="6"/>
        <w:tblW w:w="22240" w:type="dxa"/>
        <w:tblInd w:w="0" w:type="dxa"/>
        <w:shd w:val="clear" w:color="auto" w:fill="auto"/>
        <w:tblLayout w:type="fixed"/>
        <w:tblCellMar>
          <w:top w:w="0" w:type="dxa"/>
          <w:left w:w="0" w:type="dxa"/>
          <w:bottom w:w="0" w:type="dxa"/>
          <w:right w:w="0" w:type="dxa"/>
        </w:tblCellMar>
      </w:tblPr>
      <w:tblGrid>
        <w:gridCol w:w="2686"/>
        <w:gridCol w:w="4465"/>
        <w:gridCol w:w="2473"/>
        <w:gridCol w:w="2473"/>
        <w:gridCol w:w="2473"/>
        <w:gridCol w:w="2473"/>
        <w:gridCol w:w="2558"/>
        <w:gridCol w:w="2639"/>
      </w:tblGrid>
      <w:tr>
        <w:tblPrEx>
          <w:tblCellMar>
            <w:top w:w="0" w:type="dxa"/>
            <w:left w:w="0" w:type="dxa"/>
            <w:bottom w:w="0" w:type="dxa"/>
            <w:right w:w="0" w:type="dxa"/>
          </w:tblCellMar>
        </w:tblPrEx>
        <w:trPr>
          <w:trHeight w:val="644" w:hRule="atLeast"/>
        </w:trPr>
        <w:tc>
          <w:tcPr>
            <w:tcW w:w="22240" w:type="dxa"/>
            <w:gridSpan w:val="8"/>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4"/>
                <w:szCs w:val="44"/>
                <w:u w:val="none"/>
                <w:lang w:val="en-US" w:eastAsia="zh-CN" w:bidi="ar"/>
              </w:rPr>
              <w:t>政府性基金预算财政拨款收入支出决算表</w:t>
            </w:r>
          </w:p>
        </w:tc>
      </w:tr>
      <w:tr>
        <w:tblPrEx>
          <w:shd w:val="clear" w:color="auto" w:fill="auto"/>
          <w:tblCellMar>
            <w:top w:w="0" w:type="dxa"/>
            <w:left w:w="0" w:type="dxa"/>
            <w:bottom w:w="0" w:type="dxa"/>
            <w:right w:w="0" w:type="dxa"/>
          </w:tblCellMar>
        </w:tblPrEx>
        <w:trPr>
          <w:trHeight w:val="329" w:hRule="atLeast"/>
        </w:trPr>
        <w:tc>
          <w:tcPr>
            <w:tcW w:w="7151" w:type="dxa"/>
            <w:gridSpan w:val="2"/>
            <w:vMerge w:val="restart"/>
            <w:tcBorders>
              <w:top w:val="nil"/>
              <w:left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r>
              <w:rPr>
                <w:rFonts w:hint="eastAsia" w:asciiTheme="minorEastAsia" w:hAnsiTheme="minorEastAsia" w:eastAsiaTheme="minorEastAsia" w:cstheme="minorEastAsia"/>
                <w:sz w:val="24"/>
                <w:szCs w:val="24"/>
                <w:lang w:eastAsia="zh-CN"/>
              </w:rPr>
              <w:t>公开单位</w:t>
            </w:r>
            <w:r>
              <w:rPr>
                <w:rFonts w:hint="eastAsia" w:asciiTheme="minorEastAsia" w:hAnsiTheme="minorEastAsia" w:eastAsiaTheme="minorEastAsia" w:cstheme="minorEastAsia"/>
                <w:color w:val="000000"/>
                <w:sz w:val="24"/>
                <w:szCs w:val="24"/>
                <w:lang w:bidi="ar"/>
              </w:rPr>
              <w:t xml:space="preserve">： </w:t>
            </w:r>
            <w:r>
              <w:rPr>
                <w:color w:val="000000"/>
                <w:sz w:val="24"/>
                <w:u w:color="auto"/>
              </w:rPr>
              <w:t>重庆市黔江区城东街道办事处退役军人服务站</w:t>
            </w:r>
          </w:p>
        </w:tc>
        <w:tc>
          <w:tcPr>
            <w:tcW w:w="2473"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2473"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2473"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2473"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2558"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2639" w:type="dxa"/>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公开07表</w:t>
            </w:r>
          </w:p>
        </w:tc>
      </w:tr>
      <w:tr>
        <w:tblPrEx>
          <w:tblCellMar>
            <w:top w:w="0" w:type="dxa"/>
            <w:left w:w="0" w:type="dxa"/>
            <w:bottom w:w="0" w:type="dxa"/>
            <w:right w:w="0" w:type="dxa"/>
          </w:tblCellMar>
        </w:tblPrEx>
        <w:trPr>
          <w:trHeight w:val="329" w:hRule="atLeast"/>
        </w:trPr>
        <w:tc>
          <w:tcPr>
            <w:tcW w:w="7151" w:type="dxa"/>
            <w:gridSpan w:val="2"/>
            <w:vMerge w:val="continue"/>
            <w:tcBorders>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2473"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2473"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2473"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2473"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2558"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2639" w:type="dxa"/>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r>
              <w:rPr>
                <w:rFonts w:hint="eastAsia" w:ascii="宋体" w:hAnsi="宋体" w:eastAsia="宋体" w:cs="宋体"/>
                <w:sz w:val="24"/>
                <w:szCs w:val="24"/>
              </w:rPr>
              <w:t>万元</w:t>
            </w:r>
          </w:p>
        </w:tc>
      </w:tr>
      <w:tr>
        <w:tblPrEx>
          <w:tblCellMar>
            <w:top w:w="0" w:type="dxa"/>
            <w:left w:w="0" w:type="dxa"/>
            <w:bottom w:w="0" w:type="dxa"/>
            <w:right w:w="0" w:type="dxa"/>
          </w:tblCellMar>
        </w:tblPrEx>
        <w:trPr>
          <w:trHeight w:val="339" w:hRule="atLeast"/>
        </w:trPr>
        <w:tc>
          <w:tcPr>
            <w:tcW w:w="7151" w:type="dxa"/>
            <w:gridSpan w:val="2"/>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w:t>
            </w:r>
          </w:p>
        </w:tc>
        <w:tc>
          <w:tcPr>
            <w:tcW w:w="2473" w:type="dxa"/>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年初结转和结余</w:t>
            </w:r>
          </w:p>
        </w:tc>
        <w:tc>
          <w:tcPr>
            <w:tcW w:w="2473"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w:t>
            </w:r>
          </w:p>
        </w:tc>
        <w:tc>
          <w:tcPr>
            <w:tcW w:w="7504" w:type="dxa"/>
            <w:gridSpan w:val="3"/>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w:t>
            </w:r>
          </w:p>
        </w:tc>
        <w:tc>
          <w:tcPr>
            <w:tcW w:w="2639"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年末结转和结余</w:t>
            </w:r>
          </w:p>
        </w:tc>
      </w:tr>
      <w:tr>
        <w:tblPrEx>
          <w:tblCellMar>
            <w:top w:w="0" w:type="dxa"/>
            <w:left w:w="0" w:type="dxa"/>
            <w:bottom w:w="0" w:type="dxa"/>
            <w:right w:w="0" w:type="dxa"/>
          </w:tblCellMar>
        </w:tblPrEx>
        <w:trPr>
          <w:trHeight w:val="335" w:hRule="atLeast"/>
        </w:trPr>
        <w:tc>
          <w:tcPr>
            <w:tcW w:w="2686"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功能分类科目编码</w:t>
            </w:r>
          </w:p>
        </w:tc>
        <w:tc>
          <w:tcPr>
            <w:tcW w:w="4465"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项目（按“项”级功能分类科目）</w:t>
            </w:r>
          </w:p>
        </w:tc>
        <w:tc>
          <w:tcPr>
            <w:tcW w:w="2473"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47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473"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合计</w:t>
            </w:r>
          </w:p>
        </w:tc>
        <w:tc>
          <w:tcPr>
            <w:tcW w:w="2473"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基本支出</w:t>
            </w:r>
          </w:p>
        </w:tc>
        <w:tc>
          <w:tcPr>
            <w:tcW w:w="2558"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项目支出</w:t>
            </w:r>
          </w:p>
        </w:tc>
        <w:tc>
          <w:tcPr>
            <w:tcW w:w="2639"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r>
      <w:tr>
        <w:tblPrEx>
          <w:tblCellMar>
            <w:top w:w="0" w:type="dxa"/>
            <w:left w:w="0" w:type="dxa"/>
            <w:bottom w:w="0" w:type="dxa"/>
            <w:right w:w="0" w:type="dxa"/>
          </w:tblCellMar>
        </w:tblPrEx>
        <w:trPr>
          <w:trHeight w:val="335" w:hRule="atLeast"/>
        </w:trPr>
        <w:tc>
          <w:tcPr>
            <w:tcW w:w="2686"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4465"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473"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47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473"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473"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558"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639"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r>
      <w:tr>
        <w:tblPrEx>
          <w:tblCellMar>
            <w:top w:w="0" w:type="dxa"/>
            <w:left w:w="0" w:type="dxa"/>
            <w:bottom w:w="0" w:type="dxa"/>
            <w:right w:w="0" w:type="dxa"/>
          </w:tblCellMar>
        </w:tblPrEx>
        <w:trPr>
          <w:trHeight w:val="645" w:hRule="atLeast"/>
        </w:trPr>
        <w:tc>
          <w:tcPr>
            <w:tcW w:w="2686"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4465"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473"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47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473"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473"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558"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639"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r>
      <w:tr>
        <w:tblPrEx>
          <w:tblCellMar>
            <w:top w:w="0" w:type="dxa"/>
            <w:left w:w="0" w:type="dxa"/>
            <w:bottom w:w="0" w:type="dxa"/>
            <w:right w:w="0" w:type="dxa"/>
          </w:tblCellMar>
        </w:tblPrEx>
        <w:trPr>
          <w:trHeight w:val="339" w:hRule="atLeast"/>
        </w:trPr>
        <w:tc>
          <w:tcPr>
            <w:tcW w:w="7151" w:type="dxa"/>
            <w:gridSpan w:val="2"/>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合计</w:t>
            </w:r>
          </w:p>
        </w:tc>
        <w:tc>
          <w:tcPr>
            <w:tcW w:w="24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24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24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24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25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263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r>
      <w:tr>
        <w:tblPrEx>
          <w:tblCellMar>
            <w:top w:w="0" w:type="dxa"/>
            <w:left w:w="0" w:type="dxa"/>
            <w:bottom w:w="0" w:type="dxa"/>
            <w:right w:w="0" w:type="dxa"/>
          </w:tblCellMar>
        </w:tblPrEx>
        <w:trPr>
          <w:trHeight w:val="349" w:hRule="atLeast"/>
        </w:trPr>
        <w:tc>
          <w:tcPr>
            <w:tcW w:w="268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textAlignment w:val="center"/>
              <w:rPr>
                <w:rFonts w:hint="eastAsia" w:ascii="宋体" w:hAnsi="宋体" w:eastAsia="宋体" w:cs="宋体"/>
                <w:i w:val="0"/>
                <w:color w:val="000000"/>
                <w:sz w:val="22"/>
                <w:szCs w:val="22"/>
                <w:u w:val="none"/>
              </w:rPr>
            </w:pPr>
          </w:p>
        </w:tc>
        <w:tc>
          <w:tcPr>
            <w:tcW w:w="44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both"/>
              <w:textAlignment w:val="center"/>
              <w:rPr>
                <w:rFonts w:hint="eastAsia" w:ascii="宋体" w:hAnsi="宋体" w:eastAsia="宋体" w:cs="宋体"/>
                <w:i w:val="0"/>
                <w:color w:val="000000"/>
                <w:sz w:val="22"/>
                <w:szCs w:val="22"/>
                <w:u w:val="none"/>
              </w:rPr>
            </w:pPr>
          </w:p>
        </w:tc>
        <w:tc>
          <w:tcPr>
            <w:tcW w:w="24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color w:val="000000"/>
                <w:sz w:val="21"/>
                <w:szCs w:val="21"/>
                <w:lang w:val="en-US" w:eastAsia="zh-CN" w:bidi="ar"/>
              </w:rPr>
              <w:t xml:space="preserve"> </w:t>
            </w:r>
          </w:p>
        </w:tc>
        <w:tc>
          <w:tcPr>
            <w:tcW w:w="24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color w:val="000000"/>
                <w:sz w:val="21"/>
                <w:szCs w:val="21"/>
                <w:lang w:val="en-US" w:eastAsia="zh-CN" w:bidi="ar"/>
              </w:rPr>
              <w:t xml:space="preserve"> </w:t>
            </w:r>
          </w:p>
        </w:tc>
        <w:tc>
          <w:tcPr>
            <w:tcW w:w="24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color w:val="000000"/>
                <w:sz w:val="21"/>
                <w:szCs w:val="21"/>
                <w:lang w:val="en-US" w:eastAsia="zh-CN" w:bidi="ar"/>
              </w:rPr>
              <w:t xml:space="preserve"> </w:t>
            </w:r>
          </w:p>
        </w:tc>
        <w:tc>
          <w:tcPr>
            <w:tcW w:w="24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color w:val="000000"/>
                <w:sz w:val="21"/>
                <w:szCs w:val="21"/>
                <w:lang w:val="en-US" w:eastAsia="zh-CN" w:bidi="ar"/>
              </w:rPr>
              <w:t xml:space="preserve"> </w:t>
            </w:r>
          </w:p>
        </w:tc>
        <w:tc>
          <w:tcPr>
            <w:tcW w:w="25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color w:val="000000"/>
                <w:sz w:val="21"/>
                <w:szCs w:val="21"/>
                <w:lang w:val="en-US" w:eastAsia="zh-CN" w:bidi="ar"/>
              </w:rPr>
              <w:t xml:space="preserve"> </w:t>
            </w:r>
          </w:p>
        </w:tc>
        <w:tc>
          <w:tcPr>
            <w:tcW w:w="263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color w:val="000000"/>
                <w:sz w:val="21"/>
                <w:szCs w:val="21"/>
                <w:lang w:val="en-US" w:eastAsia="zh-CN" w:bidi="ar"/>
              </w:rPr>
              <w:t xml:space="preserve"> </w:t>
            </w:r>
          </w:p>
        </w:tc>
      </w:tr>
    </w:tbl>
    <w:p>
      <w:pPr>
        <w:rPr>
          <w:rFonts w:hint="eastAsia" w:ascii="宋体" w:hAnsi="宋体" w:eastAsia="宋体" w:cs="宋体"/>
          <w:sz w:val="21"/>
          <w:szCs w:val="21"/>
        </w:rPr>
      </w:pPr>
      <w:r>
        <w:rPr>
          <w:rFonts w:hint="eastAsia" w:ascii="宋体" w:hAnsi="宋体" w:eastAsia="宋体" w:cs="宋体"/>
          <w:b w:val="0"/>
          <w:bCs w:val="0"/>
          <w:i w:val="0"/>
          <w:iCs w:val="0"/>
          <w:color w:val="auto"/>
          <w:kern w:val="0"/>
          <w:sz w:val="21"/>
          <w:szCs w:val="21"/>
          <w:u w:val="none"/>
          <w:shd w:val="clear" w:color="auto" w:fill="auto"/>
          <w:lang w:val="en-US" w:eastAsia="zh-CN" w:bidi="ar"/>
        </w:rPr>
        <w:t>备注：本表反映单位本年度政府性基金预算财政拨款收入支出及结转和结余情况。本单位无政府性基金收支，故本表无数据。</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sz w:val="21"/>
          <w:szCs w:val="21"/>
        </w:rPr>
        <w:br w:type="textWrapping"/>
      </w:r>
    </w:p>
    <w:p>
      <w:pPr>
        <w:rPr>
          <w:rFonts w:hint="eastAsia" w:ascii="宋体" w:hAnsi="宋体" w:eastAsia="宋体" w:cs="宋体"/>
          <w:sz w:val="21"/>
          <w:szCs w:val="21"/>
        </w:rPr>
      </w:pPr>
      <w:r>
        <w:rPr>
          <w:rFonts w:hint="eastAsia" w:ascii="宋体" w:hAnsi="宋体" w:eastAsia="宋体" w:cs="宋体"/>
          <w:sz w:val="21"/>
          <w:szCs w:val="21"/>
        </w:rPr>
        <w:br w:type="page"/>
      </w:r>
    </w:p>
    <w:tbl>
      <w:tblPr>
        <w:tblStyle w:val="6"/>
        <w:tblW w:w="22220" w:type="dxa"/>
        <w:tblInd w:w="0" w:type="dxa"/>
        <w:shd w:val="clear" w:color="auto" w:fill="auto"/>
        <w:tblLayout w:type="fixed"/>
        <w:tblCellMar>
          <w:top w:w="0" w:type="dxa"/>
          <w:left w:w="0" w:type="dxa"/>
          <w:bottom w:w="0" w:type="dxa"/>
          <w:right w:w="0" w:type="dxa"/>
        </w:tblCellMar>
      </w:tblPr>
      <w:tblGrid>
        <w:gridCol w:w="2729"/>
        <w:gridCol w:w="4420"/>
        <w:gridCol w:w="4736"/>
        <w:gridCol w:w="5423"/>
        <w:gridCol w:w="4912"/>
      </w:tblGrid>
      <w:tr>
        <w:tblPrEx>
          <w:tblCellMar>
            <w:top w:w="0" w:type="dxa"/>
            <w:left w:w="0" w:type="dxa"/>
            <w:bottom w:w="0" w:type="dxa"/>
            <w:right w:w="0" w:type="dxa"/>
          </w:tblCellMar>
        </w:tblPrEx>
        <w:trPr>
          <w:trHeight w:val="650" w:hRule="atLeast"/>
        </w:trPr>
        <w:tc>
          <w:tcPr>
            <w:tcW w:w="22220" w:type="dxa"/>
            <w:gridSpan w:val="5"/>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4"/>
                <w:szCs w:val="44"/>
                <w:u w:val="none"/>
                <w:lang w:val="en-US" w:eastAsia="zh-CN" w:bidi="ar"/>
              </w:rPr>
              <w:t>国有资本经营预算财政拨款支出决算表</w:t>
            </w:r>
          </w:p>
        </w:tc>
      </w:tr>
      <w:tr>
        <w:tblPrEx>
          <w:shd w:val="clear" w:color="auto" w:fill="auto"/>
          <w:tblCellMar>
            <w:top w:w="0" w:type="dxa"/>
            <w:left w:w="0" w:type="dxa"/>
            <w:bottom w:w="0" w:type="dxa"/>
            <w:right w:w="0" w:type="dxa"/>
          </w:tblCellMar>
        </w:tblPrEx>
        <w:trPr>
          <w:trHeight w:val="332" w:hRule="atLeast"/>
        </w:trPr>
        <w:tc>
          <w:tcPr>
            <w:tcW w:w="7149" w:type="dxa"/>
            <w:gridSpan w:val="2"/>
            <w:vMerge w:val="restart"/>
            <w:tcBorders>
              <w:top w:val="nil"/>
              <w:left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r>
              <w:rPr>
                <w:rFonts w:hint="eastAsia" w:asciiTheme="minorEastAsia" w:hAnsiTheme="minorEastAsia" w:eastAsiaTheme="minorEastAsia" w:cstheme="minorEastAsia"/>
                <w:sz w:val="24"/>
                <w:szCs w:val="24"/>
                <w:lang w:eastAsia="zh-CN"/>
              </w:rPr>
              <w:t>公开单位</w:t>
            </w:r>
            <w:r>
              <w:rPr>
                <w:rFonts w:hint="eastAsia" w:asciiTheme="minorEastAsia" w:hAnsiTheme="minorEastAsia" w:eastAsiaTheme="minorEastAsia" w:cstheme="minorEastAsia"/>
                <w:color w:val="000000"/>
                <w:sz w:val="24"/>
                <w:szCs w:val="24"/>
                <w:lang w:bidi="ar"/>
              </w:rPr>
              <w:t xml:space="preserve">： </w:t>
            </w:r>
            <w:r>
              <w:rPr>
                <w:color w:val="000000"/>
                <w:sz w:val="24"/>
                <w:u w:color="auto"/>
              </w:rPr>
              <w:t>重庆市黔江区城东街道办事处退役军人服务站</w:t>
            </w:r>
          </w:p>
        </w:tc>
        <w:tc>
          <w:tcPr>
            <w:tcW w:w="4736"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5423"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4912" w:type="dxa"/>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公开08表</w:t>
            </w:r>
          </w:p>
        </w:tc>
      </w:tr>
      <w:tr>
        <w:tblPrEx>
          <w:tblCellMar>
            <w:top w:w="0" w:type="dxa"/>
            <w:left w:w="0" w:type="dxa"/>
            <w:bottom w:w="0" w:type="dxa"/>
            <w:right w:w="0" w:type="dxa"/>
          </w:tblCellMar>
        </w:tblPrEx>
        <w:trPr>
          <w:trHeight w:val="332" w:hRule="atLeast"/>
        </w:trPr>
        <w:tc>
          <w:tcPr>
            <w:tcW w:w="7149" w:type="dxa"/>
            <w:gridSpan w:val="2"/>
            <w:vMerge w:val="continue"/>
            <w:tcBorders>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4736"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5423"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4912" w:type="dxa"/>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r>
              <w:rPr>
                <w:rFonts w:hint="eastAsia" w:ascii="宋体" w:hAnsi="宋体" w:eastAsia="宋体" w:cs="宋体"/>
                <w:sz w:val="24"/>
                <w:szCs w:val="24"/>
              </w:rPr>
              <w:t>万元</w:t>
            </w:r>
          </w:p>
        </w:tc>
      </w:tr>
      <w:tr>
        <w:tblPrEx>
          <w:tblCellMar>
            <w:top w:w="0" w:type="dxa"/>
            <w:left w:w="0" w:type="dxa"/>
            <w:bottom w:w="0" w:type="dxa"/>
            <w:right w:w="0" w:type="dxa"/>
          </w:tblCellMar>
        </w:tblPrEx>
        <w:trPr>
          <w:trHeight w:val="422" w:hRule="atLeast"/>
        </w:trPr>
        <w:tc>
          <w:tcPr>
            <w:tcW w:w="7149" w:type="dxa"/>
            <w:gridSpan w:val="2"/>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w:t>
            </w:r>
          </w:p>
        </w:tc>
        <w:tc>
          <w:tcPr>
            <w:tcW w:w="15071" w:type="dxa"/>
            <w:gridSpan w:val="3"/>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w:t>
            </w:r>
          </w:p>
        </w:tc>
      </w:tr>
      <w:tr>
        <w:tblPrEx>
          <w:tblCellMar>
            <w:top w:w="0" w:type="dxa"/>
            <w:left w:w="0" w:type="dxa"/>
            <w:bottom w:w="0" w:type="dxa"/>
            <w:right w:w="0" w:type="dxa"/>
          </w:tblCellMar>
        </w:tblPrEx>
        <w:trPr>
          <w:trHeight w:val="339" w:hRule="atLeast"/>
        </w:trPr>
        <w:tc>
          <w:tcPr>
            <w:tcW w:w="2729"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功能分类科目编码</w:t>
            </w:r>
          </w:p>
        </w:tc>
        <w:tc>
          <w:tcPr>
            <w:tcW w:w="4420"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科目名称</w:t>
            </w:r>
          </w:p>
        </w:tc>
        <w:tc>
          <w:tcPr>
            <w:tcW w:w="4736"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合计</w:t>
            </w:r>
          </w:p>
        </w:tc>
        <w:tc>
          <w:tcPr>
            <w:tcW w:w="5423"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基本支出</w:t>
            </w:r>
          </w:p>
        </w:tc>
        <w:tc>
          <w:tcPr>
            <w:tcW w:w="4912"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项目支出</w:t>
            </w:r>
          </w:p>
        </w:tc>
      </w:tr>
      <w:tr>
        <w:tblPrEx>
          <w:tblCellMar>
            <w:top w:w="0" w:type="dxa"/>
            <w:left w:w="0" w:type="dxa"/>
            <w:bottom w:w="0" w:type="dxa"/>
            <w:right w:w="0" w:type="dxa"/>
          </w:tblCellMar>
        </w:tblPrEx>
        <w:trPr>
          <w:trHeight w:val="339" w:hRule="atLeast"/>
        </w:trPr>
        <w:tc>
          <w:tcPr>
            <w:tcW w:w="2729"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442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4736"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5423"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4912"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r>
      <w:tr>
        <w:tblPrEx>
          <w:tblCellMar>
            <w:top w:w="0" w:type="dxa"/>
            <w:left w:w="0" w:type="dxa"/>
            <w:bottom w:w="0" w:type="dxa"/>
            <w:right w:w="0" w:type="dxa"/>
          </w:tblCellMar>
        </w:tblPrEx>
        <w:trPr>
          <w:trHeight w:val="339" w:hRule="atLeast"/>
        </w:trPr>
        <w:tc>
          <w:tcPr>
            <w:tcW w:w="2729"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442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4736"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5423"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4912"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r>
      <w:tr>
        <w:tblPrEx>
          <w:tblCellMar>
            <w:top w:w="0" w:type="dxa"/>
            <w:left w:w="0" w:type="dxa"/>
            <w:bottom w:w="0" w:type="dxa"/>
            <w:right w:w="0" w:type="dxa"/>
          </w:tblCellMar>
        </w:tblPrEx>
        <w:trPr>
          <w:trHeight w:val="312" w:hRule="atLeast"/>
        </w:trPr>
        <w:tc>
          <w:tcPr>
            <w:tcW w:w="2729"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442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4736"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5423"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4912"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r>
      <w:tr>
        <w:tblPrEx>
          <w:tblCellMar>
            <w:top w:w="0" w:type="dxa"/>
            <w:left w:w="0" w:type="dxa"/>
            <w:bottom w:w="0" w:type="dxa"/>
            <w:right w:w="0" w:type="dxa"/>
          </w:tblCellMar>
        </w:tblPrEx>
        <w:trPr>
          <w:trHeight w:val="611" w:hRule="atLeast"/>
        </w:trPr>
        <w:tc>
          <w:tcPr>
            <w:tcW w:w="7149" w:type="dxa"/>
            <w:gridSpan w:val="2"/>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合计</w:t>
            </w:r>
          </w:p>
        </w:tc>
        <w:tc>
          <w:tcPr>
            <w:tcW w:w="47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b/>
                <w:i w:val="0"/>
                <w:color w:val="000000"/>
                <w:sz w:val="22"/>
                <w:szCs w:val="22"/>
                <w:u w:val="none"/>
              </w:rPr>
            </w:pPr>
          </w:p>
        </w:tc>
        <w:tc>
          <w:tcPr>
            <w:tcW w:w="491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r>
      <w:tr>
        <w:tblPrEx>
          <w:tblCellMar>
            <w:top w:w="0" w:type="dxa"/>
            <w:left w:w="0" w:type="dxa"/>
            <w:bottom w:w="0" w:type="dxa"/>
            <w:right w:w="0" w:type="dxa"/>
          </w:tblCellMar>
        </w:tblPrEx>
        <w:trPr>
          <w:trHeight w:val="488" w:hRule="atLeast"/>
        </w:trPr>
        <w:tc>
          <w:tcPr>
            <w:tcW w:w="2729"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p>
        </w:tc>
        <w:tc>
          <w:tcPr>
            <w:tcW w:w="44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p>
        </w:tc>
        <w:tc>
          <w:tcPr>
            <w:tcW w:w="47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color w:val="000000"/>
                <w:sz w:val="21"/>
                <w:szCs w:val="21"/>
                <w:lang w:val="en-US" w:eastAsia="zh-CN" w:bidi="ar"/>
              </w:rPr>
              <w:t xml:space="preserve"> </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b/>
                <w:i w:val="0"/>
                <w:color w:val="000000"/>
                <w:sz w:val="22"/>
                <w:szCs w:val="22"/>
                <w:u w:val="none"/>
              </w:rPr>
            </w:pPr>
          </w:p>
        </w:tc>
        <w:tc>
          <w:tcPr>
            <w:tcW w:w="491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color w:val="000000"/>
                <w:sz w:val="21"/>
                <w:szCs w:val="21"/>
                <w:lang w:val="en-US" w:eastAsia="zh-CN" w:bidi="ar"/>
              </w:rPr>
              <w:t xml:space="preserve"> </w:t>
            </w:r>
          </w:p>
        </w:tc>
      </w:tr>
    </w:tbl>
    <w:p>
      <w:pPr>
        <w:rPr>
          <w:rFonts w:hint="eastAsia" w:ascii="宋体" w:hAnsi="宋体" w:eastAsia="宋体" w:cs="宋体"/>
          <w:b w:val="0"/>
          <w:bCs w:val="0"/>
          <w:i w:val="0"/>
          <w:iCs w:val="0"/>
          <w:color w:val="auto"/>
          <w:kern w:val="0"/>
          <w:sz w:val="21"/>
          <w:szCs w:val="21"/>
          <w:u w:val="none"/>
          <w:shd w:val="clear" w:color="auto" w:fill="auto"/>
          <w:lang w:val="en-US" w:eastAsia="zh-CN" w:bidi="ar"/>
        </w:rPr>
      </w:pPr>
      <w:r>
        <w:rPr>
          <w:rFonts w:hint="eastAsia" w:ascii="宋体" w:hAnsi="宋体" w:eastAsia="宋体" w:cs="宋体"/>
          <w:b w:val="0"/>
          <w:bCs w:val="0"/>
          <w:i w:val="0"/>
          <w:iCs w:val="0"/>
          <w:color w:val="auto"/>
          <w:kern w:val="0"/>
          <w:sz w:val="21"/>
          <w:szCs w:val="21"/>
          <w:u w:val="none"/>
          <w:shd w:val="clear" w:color="auto" w:fill="auto"/>
          <w:lang w:val="en-US" w:eastAsia="zh-CN" w:bidi="ar"/>
        </w:rPr>
        <w:t>备注：本表反映单位本年度国有资本经营预算财政拨款支出情况。本单位无国有资本经营收支，故本表无数据。</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sz w:val="21"/>
          <w:szCs w:val="21"/>
        </w:rPr>
        <w:br w:type="textWrapping"/>
      </w:r>
    </w:p>
    <w:p>
      <w:pPr>
        <w:numPr>
          <w:ilvl w:val="0"/>
          <w:numId w:val="0"/>
        </w:numPr>
        <w:rPr>
          <w:rFonts w:hint="eastAsia" w:ascii="宋体" w:hAnsi="宋体" w:eastAsia="宋体" w:cs="宋体"/>
          <w:sz w:val="21"/>
          <w:szCs w:val="21"/>
        </w:rPr>
      </w:pPr>
      <w:r>
        <w:rPr>
          <w:rFonts w:hint="eastAsia" w:ascii="宋体" w:hAnsi="宋体" w:eastAsia="宋体" w:cs="宋体"/>
          <w:sz w:val="21"/>
          <w:szCs w:val="21"/>
        </w:rPr>
        <w:br w:type="page"/>
      </w:r>
    </w:p>
    <w:tbl>
      <w:tblPr>
        <w:tblStyle w:val="6"/>
        <w:tblW w:w="22168" w:type="dxa"/>
        <w:tblInd w:w="0" w:type="dxa"/>
        <w:shd w:val="clear" w:color="auto" w:fill="auto"/>
        <w:tblLayout w:type="fixed"/>
        <w:tblCellMar>
          <w:top w:w="0" w:type="dxa"/>
          <w:left w:w="0" w:type="dxa"/>
          <w:bottom w:w="0" w:type="dxa"/>
          <w:right w:w="0" w:type="dxa"/>
        </w:tblCellMar>
      </w:tblPr>
      <w:tblGrid>
        <w:gridCol w:w="5159"/>
        <w:gridCol w:w="3822"/>
        <w:gridCol w:w="3281"/>
        <w:gridCol w:w="6581"/>
        <w:gridCol w:w="3325"/>
      </w:tblGrid>
      <w:tr>
        <w:tblPrEx>
          <w:tblCellMar>
            <w:top w:w="0" w:type="dxa"/>
            <w:left w:w="0" w:type="dxa"/>
            <w:bottom w:w="0" w:type="dxa"/>
            <w:right w:w="0" w:type="dxa"/>
          </w:tblCellMar>
        </w:tblPrEx>
        <w:trPr>
          <w:trHeight w:val="510" w:hRule="atLeast"/>
        </w:trPr>
        <w:tc>
          <w:tcPr>
            <w:tcW w:w="22168" w:type="dxa"/>
            <w:gridSpan w:val="5"/>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4"/>
                <w:szCs w:val="44"/>
                <w:u w:val="none"/>
                <w:lang w:val="en-US" w:eastAsia="zh-CN" w:bidi="ar"/>
              </w:rPr>
              <w:t>机构运行信息表</w:t>
            </w:r>
          </w:p>
        </w:tc>
      </w:tr>
      <w:tr>
        <w:tblPrEx>
          <w:tblCellMar>
            <w:top w:w="0" w:type="dxa"/>
            <w:left w:w="0" w:type="dxa"/>
            <w:bottom w:w="0" w:type="dxa"/>
            <w:right w:w="0" w:type="dxa"/>
          </w:tblCellMar>
        </w:tblPrEx>
        <w:trPr>
          <w:trHeight w:val="255" w:hRule="atLeast"/>
        </w:trPr>
        <w:tc>
          <w:tcPr>
            <w:tcW w:w="5159"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3822" w:type="dxa"/>
            <w:tcBorders>
              <w:top w:val="nil"/>
              <w:left w:val="nil"/>
              <w:bottom w:val="nil"/>
              <w:right w:val="nil"/>
            </w:tcBorders>
            <w:shd w:val="clear" w:color="auto" w:fill="auto"/>
            <w:noWrap/>
            <w:tcMar>
              <w:top w:w="15" w:type="dxa"/>
              <w:left w:w="15" w:type="dxa"/>
              <w:right w:w="15" w:type="dxa"/>
            </w:tcMar>
            <w:vAlign w:val="bottom"/>
          </w:tcPr>
          <w:p>
            <w:pPr>
              <w:jc w:val="center"/>
              <w:rPr>
                <w:rFonts w:hint="default" w:ascii="Arial" w:hAnsi="Arial" w:eastAsia="宋体" w:cs="Arial"/>
                <w:i w:val="0"/>
                <w:color w:val="000000"/>
                <w:sz w:val="20"/>
                <w:szCs w:val="20"/>
                <w:u w:val="none"/>
              </w:rPr>
            </w:pPr>
          </w:p>
        </w:tc>
        <w:tc>
          <w:tcPr>
            <w:tcW w:w="3281" w:type="dxa"/>
            <w:tcBorders>
              <w:top w:val="nil"/>
              <w:left w:val="nil"/>
              <w:bottom w:val="nil"/>
              <w:right w:val="nil"/>
            </w:tcBorders>
            <w:shd w:val="clear" w:color="auto" w:fill="auto"/>
            <w:noWrap/>
            <w:tcMar>
              <w:top w:w="15" w:type="dxa"/>
              <w:left w:w="15" w:type="dxa"/>
              <w:right w:w="15" w:type="dxa"/>
            </w:tcMar>
            <w:vAlign w:val="bottom"/>
          </w:tcPr>
          <w:p>
            <w:pPr>
              <w:jc w:val="right"/>
              <w:rPr>
                <w:rFonts w:hint="default" w:ascii="Arial" w:hAnsi="Arial" w:eastAsia="宋体" w:cs="Arial"/>
                <w:i w:val="0"/>
                <w:color w:val="000000"/>
                <w:sz w:val="20"/>
                <w:szCs w:val="20"/>
                <w:u w:val="none"/>
              </w:rPr>
            </w:pPr>
          </w:p>
        </w:tc>
        <w:tc>
          <w:tcPr>
            <w:tcW w:w="6581"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3325" w:type="dxa"/>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公开09表</w:t>
            </w:r>
          </w:p>
        </w:tc>
      </w:tr>
      <w:tr>
        <w:tblPrEx>
          <w:tblCellMar>
            <w:top w:w="0" w:type="dxa"/>
            <w:left w:w="0" w:type="dxa"/>
            <w:bottom w:w="0" w:type="dxa"/>
            <w:right w:w="0" w:type="dxa"/>
          </w:tblCellMar>
        </w:tblPrEx>
        <w:trPr>
          <w:trHeight w:val="285" w:hRule="atLeast"/>
        </w:trPr>
        <w:tc>
          <w:tcPr>
            <w:tcW w:w="5159" w:type="dxa"/>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default" w:ascii="Arial" w:hAnsi="Arial" w:eastAsia="宋体" w:cs="Arial"/>
                <w:i w:val="0"/>
                <w:color w:val="000000"/>
                <w:sz w:val="22"/>
                <w:szCs w:val="22"/>
                <w:u w:val="none"/>
              </w:rPr>
            </w:pPr>
            <w:r>
              <w:rPr>
                <w:rFonts w:hint="eastAsia" w:asciiTheme="minorEastAsia" w:hAnsiTheme="minorEastAsia" w:eastAsiaTheme="minorEastAsia" w:cstheme="minorEastAsia"/>
                <w:sz w:val="24"/>
                <w:szCs w:val="24"/>
                <w:lang w:eastAsia="zh-CN"/>
              </w:rPr>
              <w:t>公开单位</w:t>
            </w:r>
            <w:r>
              <w:rPr>
                <w:rFonts w:hint="eastAsia" w:asciiTheme="minorEastAsia" w:hAnsiTheme="minorEastAsia" w:eastAsiaTheme="minorEastAsia" w:cstheme="minorEastAsia"/>
                <w:color w:val="000000"/>
                <w:sz w:val="24"/>
                <w:szCs w:val="24"/>
                <w:lang w:bidi="ar"/>
              </w:rPr>
              <w:t xml:space="preserve">： </w:t>
            </w:r>
            <w:r>
              <w:rPr>
                <w:color w:val="000000"/>
                <w:sz w:val="24"/>
                <w:u w:color="auto"/>
              </w:rPr>
              <w:t>重庆市黔江区城东街道办事处退役军人服务站</w:t>
            </w:r>
          </w:p>
        </w:tc>
        <w:tc>
          <w:tcPr>
            <w:tcW w:w="3822" w:type="dxa"/>
            <w:tcBorders>
              <w:top w:val="nil"/>
              <w:left w:val="nil"/>
              <w:bottom w:val="nil"/>
              <w:right w:val="nil"/>
            </w:tcBorders>
            <w:shd w:val="clear" w:color="auto" w:fill="auto"/>
            <w:noWrap/>
            <w:tcMar>
              <w:top w:w="15" w:type="dxa"/>
              <w:left w:w="15" w:type="dxa"/>
              <w:right w:w="15" w:type="dxa"/>
            </w:tcMar>
            <w:vAlign w:val="bottom"/>
          </w:tcPr>
          <w:p>
            <w:pPr>
              <w:jc w:val="center"/>
              <w:rPr>
                <w:rFonts w:hint="eastAsia" w:ascii="宋体" w:hAnsi="宋体" w:eastAsia="宋体" w:cs="宋体"/>
                <w:i w:val="0"/>
                <w:color w:val="000000"/>
                <w:sz w:val="22"/>
                <w:szCs w:val="22"/>
                <w:u w:val="none"/>
              </w:rPr>
            </w:pPr>
          </w:p>
        </w:tc>
        <w:tc>
          <w:tcPr>
            <w:tcW w:w="3281" w:type="dxa"/>
            <w:tcBorders>
              <w:top w:val="nil"/>
              <w:left w:val="nil"/>
              <w:bottom w:val="nil"/>
              <w:right w:val="nil"/>
            </w:tcBorders>
            <w:shd w:val="clear" w:color="auto" w:fill="auto"/>
            <w:noWrap/>
            <w:tcMar>
              <w:top w:w="15" w:type="dxa"/>
              <w:left w:w="15" w:type="dxa"/>
              <w:right w:w="15" w:type="dxa"/>
            </w:tcMar>
            <w:vAlign w:val="bottom"/>
          </w:tcPr>
          <w:p>
            <w:pPr>
              <w:jc w:val="right"/>
              <w:rPr>
                <w:rFonts w:hint="default" w:ascii="Arial" w:hAnsi="Arial" w:eastAsia="宋体" w:cs="Arial"/>
                <w:i w:val="0"/>
                <w:color w:val="000000"/>
                <w:sz w:val="22"/>
                <w:szCs w:val="22"/>
                <w:u w:val="none"/>
              </w:rPr>
            </w:pPr>
          </w:p>
        </w:tc>
        <w:tc>
          <w:tcPr>
            <w:tcW w:w="6581"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3325" w:type="dxa"/>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r>
              <w:rPr>
                <w:rFonts w:hint="eastAsia" w:ascii="宋体" w:hAnsi="宋体" w:eastAsia="宋体" w:cs="宋体"/>
                <w:sz w:val="24"/>
                <w:szCs w:val="24"/>
              </w:rPr>
              <w:t>万元</w:t>
            </w:r>
          </w:p>
        </w:tc>
      </w:tr>
      <w:tr>
        <w:tblPrEx>
          <w:tblCellMar>
            <w:top w:w="0" w:type="dxa"/>
            <w:left w:w="0" w:type="dxa"/>
            <w:bottom w:w="0" w:type="dxa"/>
            <w:right w:w="0" w:type="dxa"/>
          </w:tblCellMar>
        </w:tblPrEx>
        <w:trPr>
          <w:trHeight w:val="308" w:hRule="atLeast"/>
        </w:trPr>
        <w:tc>
          <w:tcPr>
            <w:tcW w:w="5159" w:type="dxa"/>
            <w:tcBorders>
              <w:top w:val="single" w:color="000000" w:sz="4" w:space="0"/>
              <w:left w:val="single" w:color="000000" w:sz="4" w:space="0"/>
              <w:bottom w:val="single" w:color="000000" w:sz="4" w:space="0"/>
              <w:right w:val="nil"/>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  目</w:t>
            </w:r>
          </w:p>
        </w:tc>
        <w:tc>
          <w:tcPr>
            <w:tcW w:w="38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预算数</w:t>
            </w:r>
          </w:p>
        </w:tc>
        <w:tc>
          <w:tcPr>
            <w:tcW w:w="3281" w:type="dxa"/>
            <w:tcBorders>
              <w:top w:val="single" w:color="000000" w:sz="4" w:space="0"/>
              <w:left w:val="nil"/>
              <w:bottom w:val="nil"/>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决算数</w:t>
            </w:r>
          </w:p>
        </w:tc>
        <w:tc>
          <w:tcPr>
            <w:tcW w:w="6581" w:type="dxa"/>
            <w:tcBorders>
              <w:top w:val="single" w:color="000000" w:sz="4" w:space="0"/>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  目</w:t>
            </w:r>
          </w:p>
        </w:tc>
        <w:tc>
          <w:tcPr>
            <w:tcW w:w="3325" w:type="dxa"/>
            <w:tcBorders>
              <w:top w:val="single" w:color="000000" w:sz="4" w:space="0"/>
              <w:left w:val="nil"/>
              <w:bottom w:val="nil"/>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决算数</w:t>
            </w:r>
          </w:p>
        </w:tc>
      </w:tr>
      <w:tr>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一、“三公”经费支出</w:t>
            </w:r>
          </w:p>
        </w:tc>
        <w:tc>
          <w:tcPr>
            <w:tcW w:w="3822"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cs="宋体"/>
                <w:i w:val="0"/>
                <w:color w:val="000000"/>
                <w:kern w:val="0"/>
                <w:sz w:val="22"/>
                <w:szCs w:val="22"/>
                <w:u w:val="none"/>
                <w:lang w:val="en-US" w:eastAsia="zh-CN" w:bidi="ar"/>
              </w:rPr>
              <w:t>五</w:t>
            </w:r>
            <w:r>
              <w:rPr>
                <w:rFonts w:hint="eastAsia" w:ascii="宋体" w:hAnsi="宋体" w:eastAsia="宋体" w:cs="宋体"/>
                <w:i w:val="0"/>
                <w:color w:val="000000"/>
                <w:kern w:val="0"/>
                <w:sz w:val="22"/>
                <w:szCs w:val="22"/>
                <w:u w:val="none"/>
                <w:lang w:val="en-US" w:eastAsia="zh-CN" w:bidi="ar"/>
              </w:rPr>
              <w:t>、机关运行经费</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（一）支出合计</w:t>
            </w:r>
          </w:p>
        </w:tc>
        <w:tc>
          <w:tcPr>
            <w:tcW w:w="3822"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（一）行政单位</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1．因公出国（境）费</w:t>
            </w:r>
          </w:p>
        </w:tc>
        <w:tc>
          <w:tcPr>
            <w:tcW w:w="3822"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（二）参照公务员法管理事业单位</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2．公务用车购置及运行维护费</w:t>
            </w:r>
          </w:p>
        </w:tc>
        <w:tc>
          <w:tcPr>
            <w:tcW w:w="3822"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cs="宋体"/>
                <w:i w:val="0"/>
                <w:color w:val="000000"/>
                <w:kern w:val="0"/>
                <w:sz w:val="22"/>
                <w:szCs w:val="22"/>
                <w:u w:val="none"/>
                <w:lang w:val="en-US" w:eastAsia="zh-CN" w:bidi="ar"/>
              </w:rPr>
              <w:t>六</w:t>
            </w:r>
            <w:r>
              <w:rPr>
                <w:rFonts w:hint="eastAsia" w:ascii="宋体" w:hAnsi="宋体" w:eastAsia="宋体" w:cs="宋体"/>
                <w:i w:val="0"/>
                <w:color w:val="000000"/>
                <w:kern w:val="0"/>
                <w:sz w:val="22"/>
                <w:szCs w:val="22"/>
                <w:u w:val="none"/>
                <w:lang w:val="en-US" w:eastAsia="zh-CN" w:bidi="ar"/>
              </w:rPr>
              <w:t>、资产信息</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（1）公务用车购置费</w:t>
            </w:r>
          </w:p>
        </w:tc>
        <w:tc>
          <w:tcPr>
            <w:tcW w:w="3822"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（一）车辆数合计（辆）</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（2）公务用车运行维护费</w:t>
            </w:r>
          </w:p>
        </w:tc>
        <w:tc>
          <w:tcPr>
            <w:tcW w:w="3822"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1．副部（省）级及以上领导用车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3．公务接待费</w:t>
            </w:r>
          </w:p>
        </w:tc>
        <w:tc>
          <w:tcPr>
            <w:tcW w:w="3822"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2．主要领导干部用车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（1）国内接待费</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3．机要通信用车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其中：外事接待费</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4．应急保障用车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（2）国（境）外接待费</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5．执法执勤用车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（二）相关统计数</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6．特种专业技术用车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1．因公出国（境）团组数（个）</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7．离退休干部用车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2．因公出国（境）人次数（人）</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8．其他用车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3．公务用车购置数（辆）</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（二）单价100万元（含）以上设备（不含车辆）</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4．公务用车保有量（辆）</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cs="宋体"/>
                <w:i w:val="0"/>
                <w:color w:val="000000"/>
                <w:kern w:val="0"/>
                <w:sz w:val="22"/>
                <w:szCs w:val="22"/>
                <w:u w:val="none"/>
                <w:lang w:val="en-US" w:eastAsia="zh-CN" w:bidi="ar"/>
              </w:rPr>
              <w:t>七</w:t>
            </w:r>
            <w:r>
              <w:rPr>
                <w:rFonts w:hint="eastAsia" w:ascii="宋体" w:hAnsi="宋体" w:eastAsia="宋体" w:cs="宋体"/>
                <w:i w:val="0"/>
                <w:color w:val="000000"/>
                <w:kern w:val="0"/>
                <w:sz w:val="22"/>
                <w:szCs w:val="22"/>
                <w:u w:val="none"/>
                <w:lang w:val="en-US" w:eastAsia="zh-CN" w:bidi="ar"/>
              </w:rPr>
              <w:t>、政府采购支出信息</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5．国内公务接待批次（个）</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（一）政府采购支出合计</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其中：外事接待批次（个）</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1．政府采购货物支出</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6．国内公务接待人次（人）</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2．政府采购工程支出</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其中：外事接待人次（人）</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3．政府采购服务支出</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7．国（境）外公务接待批次（个）</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（二）政府采购授予中小企业合同金额</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8．国（境）外公务接待人次（人）</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其中：授予小微企业合同金额</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auto" w:sz="4" w:space="0"/>
              <w:right w:val="nil"/>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二、会议费</w:t>
            </w:r>
          </w:p>
        </w:tc>
        <w:tc>
          <w:tcPr>
            <w:tcW w:w="3822" w:type="dxa"/>
            <w:tcBorders>
              <w:top w:val="nil"/>
              <w:left w:val="nil"/>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 xml:space="preserve">  </w:t>
            </w:r>
          </w:p>
        </w:tc>
        <w:tc>
          <w:tcPr>
            <w:tcW w:w="6581" w:type="dxa"/>
            <w:tcBorders>
              <w:top w:val="nil"/>
              <w:left w:val="nil"/>
              <w:bottom w:val="single" w:color="auto"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jc w:val="right"/>
              <w:rPr>
                <w:rFonts w:hint="default" w:ascii="Arial" w:hAnsi="Arial" w:eastAsia="宋体" w:cs="Arial"/>
                <w:i w:val="0"/>
                <w:color w:val="000000"/>
                <w:sz w:val="20"/>
                <w:szCs w:val="20"/>
                <w:u w:val="none"/>
              </w:rPr>
            </w:pPr>
          </w:p>
        </w:tc>
      </w:tr>
      <w:tr>
        <w:tblPrEx>
          <w:tblCellMar>
            <w:top w:w="0" w:type="dxa"/>
            <w:left w:w="0" w:type="dxa"/>
            <w:bottom w:w="0" w:type="dxa"/>
            <w:right w:w="0" w:type="dxa"/>
          </w:tblCellMar>
        </w:tblPrEx>
        <w:trPr>
          <w:trHeight w:val="308" w:hRule="atLeast"/>
        </w:trPr>
        <w:tc>
          <w:tcPr>
            <w:tcW w:w="5159" w:type="dxa"/>
            <w:tcBorders>
              <w:top w:val="single" w:color="auto" w:sz="4" w:space="0"/>
              <w:left w:val="single" w:color="auto" w:sz="4" w:space="0"/>
              <w:bottom w:val="single" w:color="auto" w:sz="4" w:space="0"/>
              <w:right w:val="nil"/>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三、培训费</w:t>
            </w:r>
          </w:p>
        </w:tc>
        <w:tc>
          <w:tcPr>
            <w:tcW w:w="3822" w:type="dxa"/>
            <w:tcBorders>
              <w:top w:val="single" w:color="auto" w:sz="4" w:space="0"/>
              <w:left w:val="nil"/>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single" w:color="auto" w:sz="4" w:space="0"/>
              <w:bottom w:val="single" w:color="000000" w:sz="4" w:space="0"/>
              <w:right w:val="single" w:color="auto" w:sz="4" w:space="0"/>
            </w:tcBorders>
            <w:shd w:val="clear" w:color="auto" w:fill="auto"/>
            <w:noWrap/>
            <w:tcMar>
              <w:top w:w="15" w:type="dxa"/>
              <w:left w:w="15" w:type="dxa"/>
              <w:right w:w="15" w:type="dxa"/>
            </w:tcMar>
            <w:vAlign w:val="bottom"/>
          </w:tcPr>
          <w:p>
            <w:pPr>
              <w:wordWrap w:val="0"/>
              <w:jc w:val="right"/>
              <w:textAlignment w:val="bottom"/>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 xml:space="preserve"> </w:t>
            </w:r>
            <w:r>
              <w:rPr>
                <w:rFonts w:hint="eastAsia" w:ascii="宋体" w:hAnsi="宋体" w:eastAsia="宋体" w:cs="宋体"/>
                <w:color w:val="000000"/>
                <w:sz w:val="21"/>
                <w:szCs w:val="21"/>
                <w:lang w:bidi="ar"/>
              </w:rPr>
              <w:t>0.35</w:t>
            </w:r>
            <w:r>
              <w:rPr>
                <w:rFonts w:hint="eastAsia" w:ascii="宋体" w:hAnsi="宋体" w:eastAsia="宋体" w:cs="宋体"/>
                <w:color w:val="000000"/>
                <w:sz w:val="21"/>
                <w:szCs w:val="21"/>
                <w:lang w:val="en-US" w:eastAsia="zh-CN" w:bidi="ar"/>
              </w:rPr>
              <w:t xml:space="preserve"> </w:t>
            </w:r>
          </w:p>
        </w:tc>
        <w:tc>
          <w:tcPr>
            <w:tcW w:w="6581" w:type="dxa"/>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3325" w:type="dxa"/>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bottom"/>
          </w:tcPr>
          <w:p>
            <w:pPr>
              <w:jc w:val="right"/>
              <w:rPr>
                <w:rFonts w:hint="default" w:ascii="Arial" w:hAnsi="Arial" w:eastAsia="宋体" w:cs="Arial"/>
                <w:i w:val="0"/>
                <w:color w:val="000000"/>
                <w:sz w:val="20"/>
                <w:szCs w:val="20"/>
                <w:u w:val="none"/>
              </w:rPr>
            </w:pPr>
          </w:p>
        </w:tc>
      </w:tr>
      <w:tr>
        <w:tblPrEx>
          <w:tblCellMar>
            <w:top w:w="0" w:type="dxa"/>
            <w:left w:w="0" w:type="dxa"/>
            <w:bottom w:w="0" w:type="dxa"/>
            <w:right w:w="0" w:type="dxa"/>
          </w:tblCellMar>
        </w:tblPrEx>
        <w:trPr>
          <w:trHeight w:val="308" w:hRule="atLeast"/>
        </w:trPr>
        <w:tc>
          <w:tcPr>
            <w:tcW w:w="5159" w:type="dxa"/>
            <w:tcBorders>
              <w:top w:val="single" w:color="auto" w:sz="4" w:space="0"/>
              <w:left w:val="single" w:color="auto" w:sz="4" w:space="0"/>
              <w:bottom w:val="single" w:color="auto" w:sz="4" w:space="0"/>
              <w:right w:val="nil"/>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四、差旅费</w:t>
            </w:r>
          </w:p>
        </w:tc>
        <w:tc>
          <w:tcPr>
            <w:tcW w:w="3822" w:type="dxa"/>
            <w:tcBorders>
              <w:top w:val="single" w:color="auto" w:sz="4" w:space="0"/>
              <w:left w:val="nil"/>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single" w:color="auto" w:sz="4" w:space="0"/>
              <w:bottom w:val="single" w:color="000000" w:sz="4" w:space="0"/>
              <w:right w:val="single" w:color="auto" w:sz="4" w:space="0"/>
            </w:tcBorders>
            <w:shd w:val="clear" w:color="auto" w:fill="auto"/>
            <w:noWrap/>
            <w:tcMar>
              <w:top w:w="15" w:type="dxa"/>
              <w:left w:w="15" w:type="dxa"/>
              <w:right w:w="15" w:type="dxa"/>
            </w:tcMar>
            <w:vAlign w:val="bottom"/>
          </w:tcPr>
          <w:p>
            <w:pPr>
              <w:wordWrap w:val="0"/>
              <w:jc w:val="right"/>
              <w:textAlignment w:val="bottom"/>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 xml:space="preserve">  </w:t>
            </w:r>
          </w:p>
        </w:tc>
        <w:tc>
          <w:tcPr>
            <w:tcW w:w="6581" w:type="dxa"/>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3325" w:type="dxa"/>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bottom"/>
          </w:tcPr>
          <w:p>
            <w:pPr>
              <w:jc w:val="right"/>
              <w:rPr>
                <w:rFonts w:hint="default" w:ascii="Arial" w:hAnsi="Arial" w:eastAsia="宋体" w:cs="Arial"/>
                <w:i w:val="0"/>
                <w:color w:val="000000"/>
                <w:sz w:val="20"/>
                <w:szCs w:val="20"/>
                <w:u w:val="none"/>
              </w:rPr>
            </w:pPr>
          </w:p>
        </w:tc>
      </w:tr>
    </w:tbl>
    <w:p>
      <w:pPr>
        <w:rPr>
          <w:rFonts w:hint="eastAsia" w:ascii="宋体" w:hAnsi="宋体" w:eastAsia="宋体" w:cs="宋体"/>
          <w:sz w:val="21"/>
          <w:szCs w:val="21"/>
        </w:rPr>
      </w:pPr>
      <w:r>
        <w:rPr>
          <w:rFonts w:hint="eastAsia" w:ascii="宋体" w:hAnsi="宋体" w:eastAsia="宋体" w:cs="宋体"/>
          <w:b w:val="0"/>
          <w:bCs w:val="0"/>
          <w:i w:val="0"/>
          <w:iCs w:val="0"/>
          <w:color w:val="auto"/>
          <w:kern w:val="0"/>
          <w:sz w:val="21"/>
          <w:szCs w:val="21"/>
          <w:u w:val="none"/>
          <w:shd w:val="clear" w:color="auto" w:fill="auto"/>
          <w:lang w:val="en-US" w:eastAsia="zh-CN" w:bidi="ar"/>
        </w:rPr>
        <w:t>备注：1.本表反映单位本年度财政拨款“三公”经费支出预决算情况。其中，预算数为“三公”经费全年预算数，反映按规定程序调整后的预算数；决算数为包括本年度财政拨款和以前年度结转资金安排的实际支出。</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b w:val="0"/>
          <w:bCs w:val="0"/>
          <w:i w:val="0"/>
          <w:iCs w:val="0"/>
          <w:color w:val="auto"/>
          <w:kern w:val="0"/>
          <w:sz w:val="21"/>
          <w:szCs w:val="21"/>
          <w:u w:val="none"/>
          <w:shd w:val="clear" w:color="auto" w:fill="auto"/>
          <w:lang w:val="en-US" w:eastAsia="zh-CN" w:bidi="ar"/>
        </w:rPr>
        <w:t xml:space="preserve">      2.本套报表金额单位转换时可能存在尾数误差。</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sz w:val="21"/>
          <w:szCs w:val="21"/>
        </w:rPr>
        <w:br w:type="textWrapping"/>
      </w:r>
    </w:p>
    <w:p>
      <w:pPr>
        <w:rPr>
          <w:rFonts w:hint="eastAsia" w:ascii="宋体" w:hAnsi="宋体" w:eastAsia="宋体" w:cs="宋体"/>
          <w:color w:val="000000"/>
          <w:sz w:val="21"/>
          <w:szCs w:val="21"/>
          <w:lang w:bidi="ar"/>
        </w:rPr>
      </w:pPr>
    </w:p>
    <w:p>
      <w:pPr>
        <w:rPr>
          <w:rFonts w:hint="eastAsia" w:ascii="宋体" w:hAnsi="宋体" w:eastAsia="宋体" w:cs="宋体"/>
          <w:color w:val="000000"/>
          <w:sz w:val="21"/>
          <w:szCs w:val="21"/>
          <w:lang w:bidi="ar"/>
        </w:rPr>
      </w:pPr>
    </w:p>
    <w:p>
      <w:pPr>
        <w:rPr>
          <w:rFonts w:hint="eastAsia" w:ascii="宋体" w:hAnsi="宋体" w:eastAsia="宋体" w:cs="宋体"/>
          <w:color w:val="000000"/>
          <w:sz w:val="21"/>
          <w:szCs w:val="21"/>
          <w:lang w:bidi="ar"/>
        </w:rPr>
      </w:pPr>
    </w:p>
    <w:p>
      <w:pPr>
        <w:rPr>
          <w:rFonts w:hint="eastAsia" w:ascii="宋体" w:hAnsi="宋体" w:eastAsia="宋体" w:cs="宋体"/>
          <w:color w:val="000000"/>
          <w:sz w:val="21"/>
          <w:szCs w:val="21"/>
          <w:lang w:bidi="ar"/>
        </w:rPr>
      </w:pPr>
    </w:p>
    <w:p>
      <w:pPr>
        <w:rPr>
          <w:rFonts w:hint="eastAsia" w:ascii="宋体" w:hAnsi="宋体" w:eastAsia="宋体" w:cs="宋体"/>
          <w:color w:val="000000"/>
          <w:sz w:val="21"/>
          <w:szCs w:val="21"/>
          <w:lang w:bidi="ar"/>
        </w:rPr>
      </w:pPr>
    </w:p>
    <w:p>
      <w:pPr>
        <w:rPr>
          <w:rFonts w:hint="eastAsia" w:ascii="宋体" w:hAnsi="宋体" w:eastAsia="宋体" w:cs="宋体"/>
          <w:color w:val="000000"/>
          <w:sz w:val="21"/>
          <w:szCs w:val="21"/>
          <w:lang w:bidi="ar"/>
        </w:rPr>
      </w:pPr>
    </w:p>
    <w:p>
      <w:pPr>
        <w:rPr>
          <w:rFonts w:hint="eastAsia" w:ascii="宋体" w:hAnsi="宋体" w:eastAsia="宋体" w:cs="宋体"/>
          <w:color w:val="000000"/>
          <w:sz w:val="21"/>
          <w:szCs w:val="21"/>
          <w:lang w:bidi="ar"/>
        </w:rPr>
      </w:pPr>
    </w:p>
    <w:p>
      <w:pPr>
        <w:rPr>
          <w:rFonts w:hint="eastAsia" w:ascii="宋体" w:hAnsi="宋体" w:eastAsia="宋体" w:cs="宋体"/>
          <w:color w:val="000000"/>
          <w:sz w:val="21"/>
          <w:szCs w:val="21"/>
          <w:lang w:bidi="ar"/>
        </w:rPr>
      </w:pPr>
    </w:p>
    <w:p>
      <w:pPr>
        <w:rPr>
          <w:rFonts w:hint="eastAsia" w:ascii="宋体" w:hAnsi="宋体" w:eastAsia="宋体" w:cs="宋体"/>
          <w:color w:val="000000"/>
          <w:sz w:val="21"/>
          <w:szCs w:val="21"/>
          <w:lang w:bidi="ar"/>
        </w:rPr>
      </w:pPr>
    </w:p>
    <w:p>
      <w:pPr>
        <w:pStyle w:val="10"/>
        <w:autoSpaceDE w:val="0"/>
        <w:ind w:firstLine="0" w:firstLineChars="0"/>
        <w:rPr>
          <w:rFonts w:hint="default" w:ascii="宋体" w:hAnsi="宋体" w:eastAsia="宋体" w:cs="宋体"/>
          <w:sz w:val="21"/>
          <w:szCs w:val="21"/>
        </w:rPr>
      </w:pPr>
    </w:p>
    <w:sectPr>
      <w:headerReference r:id="rId4" w:type="default"/>
      <w:footerReference r:id="rId5" w:type="default"/>
      <w:pgSz w:w="23811" w:h="16838" w:orient="landscape"/>
      <w:pgMar w:top="567" w:right="454" w:bottom="567" w:left="1037" w:header="0" w:footer="283"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both"/>
      <w:rPr>
        <w:rFonts w:hint="default"/>
      </w:rPr>
    </w:pPr>
    <w:r>
      <mc:AlternateContent>
        <mc:Choice Requires="wps">
          <w:drawing>
            <wp:anchor distT="0" distB="0" distL="114300" distR="114300" simplePos="0" relativeHeight="251660288" behindDoc="0" locked="0" layoutInCell="1" allowOverlap="0">
              <wp:simplePos x="0" y="0"/>
              <wp:positionH relativeFrom="margin">
                <wp:align>center</wp:align>
              </wp:positionH>
              <wp:positionV relativeFrom="paragraph">
                <wp:posOffset>0</wp:posOffset>
              </wp:positionV>
              <wp:extent cx="1828800" cy="1828800"/>
              <wp:effectExtent l="0" t="0" r="0" b="0"/>
              <wp:wrapNone/>
              <wp:docPr id="127" name="文本框 127"/>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ffectLst/>
                    </wps:spPr>
                    <wps:txbx>
                      <w:txbxContent>
                        <w:p>
                          <w:pPr>
                            <w:pStyle w:val="2"/>
                            <w:rPr>
                              <w:rFonts w:hint="default"/>
                            </w:rPr>
                          </w:pPr>
                          <w:r>
                            <w:t xml:space="preserve"> </w:t>
                          </w:r>
                          <w:r>
                            <w:fldChar w:fldCharType="begin"/>
                          </w:r>
                          <w:r>
                            <w:instrText xml:space="preserve">PAGE   \* MERGEFORMAT</w:instrText>
                          </w:r>
                          <w:r>
                            <w:fldChar w:fldCharType="separate"/>
                          </w:r>
                          <w:r>
                            <w:rPr>
                              <w:rFonts w:hint="default"/>
                              <w:lang w:val="zh-CN"/>
                            </w:rPr>
                            <w:t>28</w:t>
                          </w:r>
                          <w:r>
                            <w:fldChar w:fldCharType="end"/>
                          </w:r>
                          <w:r>
                            <w:t xml:space="preserve"> </w:t>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allowoverlap="f"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8Y1JphwCAAArBAAADgAAAAAAAAABACAAAAA1AQAAZHJzL2Uyb0RvYy54bWxQSwUG&#10;AAAAAAYABgBZAQAAwwUAAAAA&#10;">
              <v:fill on="f" focussize="0,0"/>
              <v:stroke on="f" weight="0.5pt"/>
              <v:imagedata o:title=""/>
              <o:lock v:ext="edit" aspectratio="f"/>
              <v:textbox inset="0mm,0mm,0mm,0mm" style="mso-fit-shape-to-text:t;">
                <w:txbxContent>
                  <w:p>
                    <w:pPr>
                      <w:pStyle w:val="2"/>
                      <w:rPr>
                        <w:rFonts w:hint="default"/>
                      </w:rPr>
                    </w:pPr>
                    <w:r>
                      <w:t xml:space="preserve"> </w:t>
                    </w:r>
                    <w:r>
                      <w:fldChar w:fldCharType="begin"/>
                    </w:r>
                    <w:r>
                      <w:instrText xml:space="preserve">PAGE   \* MERGEFORMAT</w:instrText>
                    </w:r>
                    <w:r>
                      <w:fldChar w:fldCharType="separate"/>
                    </w:r>
                    <w:r>
                      <w:rPr>
                        <w:rFonts w:hint="default"/>
                        <w:lang w:val="zh-CN"/>
                      </w:rPr>
                      <w:t>28</w:t>
                    </w:r>
                    <w:r>
                      <w:fldChar w:fldCharType="end"/>
                    </w:r>
                    <w:r>
                      <w:t xml:space="preserve"> </w:t>
                    </w:r>
                  </w:p>
                </w:txbxContent>
              </v:textbox>
            </v:shape>
          </w:pict>
        </mc:Fallback>
      </mc:AlternateContent>
    </w:r>
    <w:r>
      <mc:AlternateContent>
        <mc:Choice Requires="wps">
          <w:drawing>
            <wp:anchor distT="0" distB="0" distL="114300" distR="114300" simplePos="0" relativeHeight="251659264" behindDoc="0" locked="0" layoutInCell="1" allowOverlap="0">
              <wp:simplePos x="0" y="0"/>
              <wp:positionH relativeFrom="margin">
                <wp:align>center</wp:align>
              </wp:positionH>
              <wp:positionV relativeFrom="page">
                <wp:posOffset>14737080</wp:posOffset>
              </wp:positionV>
              <wp:extent cx="1828800" cy="220980"/>
              <wp:effectExtent l="0" t="0" r="0" b="0"/>
              <wp:wrapNone/>
              <wp:docPr id="126" name="文本框 126"/>
              <wp:cNvGraphicFramePr/>
              <a:graphic xmlns:a="http://schemas.openxmlformats.org/drawingml/2006/main">
                <a:graphicData uri="http://schemas.microsoft.com/office/word/2010/wordprocessingShape">
                  <wps:wsp>
                    <wps:cNvSpPr txBox="true"/>
                    <wps:spPr>
                      <a:xfrm>
                        <a:off x="0" y="0"/>
                        <a:ext cx="1828800" cy="220980"/>
                      </a:xfrm>
                      <a:prstGeom prst="rect">
                        <a:avLst/>
                      </a:prstGeom>
                      <a:noFill/>
                      <a:ln w="6350">
                        <a:noFill/>
                      </a:ln>
                      <a:effectLst/>
                    </wps:spPr>
                    <wps:txbx>
                      <w:txbxContent>
                        <w:p>
                          <w:pPr>
                            <w:pStyle w:val="2"/>
                            <w:jc w:val="both"/>
                            <w:rPr>
                              <w:rFonts w:hint="default" w:cs="宋体"/>
                            </w:rPr>
                          </w:pPr>
                          <w:r>
                            <w:rPr>
                              <w:rFonts w:cs="宋体"/>
                            </w:rPr>
                            <w:t>— 27.1 —</w:t>
                          </w:r>
                        </w:p>
                      </w:txbxContent>
                    </wps:txbx>
                    <wps:bodyPr rot="0" spcFirstLastPara="0" vertOverflow="overflow" horzOverflow="overflow" vert="horz" wrap="none" lIns="0" tIns="0" rIns="0" bIns="0" numCol="1" spcCol="0" rtlCol="0" fromWordArt="false" anchor="t" anchorCtr="false" forceAA="false" compatLnSpc="true">
                      <a:noAutofit/>
                    </wps:bodyPr>
                  </wps:wsp>
                </a:graphicData>
              </a:graphic>
            </wp:anchor>
          </w:drawing>
        </mc:Choice>
        <mc:Fallback>
          <w:pict>
            <v:shape id="_x0000_s1026" o:spid="_x0000_s1026" o:spt="202" type="#_x0000_t202" style="position:absolute;left:0pt;margin-top:1160.4pt;height:17.4pt;width:144pt;mso-position-horizontal:center;mso-position-horizontal-relative:margin;mso-position-vertical-relative:page;mso-wrap-style:none;z-index:251659264;mso-width-relative:page;mso-height-relative:page;" filled="f" stroked="f" coordsize="21600,21600" o:allowoverlap="f" o:gfxdata="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FgAAAGRy&#10;cy9QSwECFAAUAAAACACHTuJAeA1UVNgAAAAKAQAADwAAAAAAAAABACAAAAA4AAAAZHJzL2Rvd25y&#10;ZXYueG1sUEsBAhQAFAAAAAgAh07iQJMZTUchAgAAKgQAAA4AAAAAAAAAAQAgAAAAPQEAAGRycy9l&#10;Mm9Eb2MueG1sUEsFBgAAAAAGAAYAWQEAANAFAAAAAA==&#10;">
              <v:fill on="f" focussize="0,0"/>
              <v:stroke on="f" weight="0.5pt"/>
              <v:imagedata o:title=""/>
              <o:lock v:ext="edit" aspectratio="f"/>
              <v:textbox inset="0mm,0mm,0mm,0mm">
                <w:txbxContent>
                  <w:p>
                    <w:pPr>
                      <w:pStyle w:val="2"/>
                      <w:jc w:val="both"/>
                      <w:rPr>
                        <w:rFonts w:hint="default" w:cs="宋体"/>
                      </w:rPr>
                    </w:pPr>
                    <w:r>
                      <w:rPr>
                        <w:rFonts w:cs="宋体"/>
                      </w:rPr>
                      <w:t>— 27.1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tabs>
        <w:tab w:val="left" w:pos="1758"/>
        <w:tab w:val="clear" w:pos="4153"/>
        <w:tab w:val="clear" w:pos="8306"/>
      </w:tabs>
      <w:rPr>
        <w:rFonts w:hint="defaul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5339A02"/>
    <w:multiLevelType w:val="singleLevel"/>
    <w:tmpl w:val="C5339A02"/>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QwYWQ1YTE0ZDA0NjgxYzlhMjZlMDExNTFmMWI3MmEifQ=="/>
  </w:docVars>
  <w:rsids>
    <w:rsidRoot w:val="00B03CCD"/>
    <w:rsid w:val="00550ABE"/>
    <w:rsid w:val="007B419D"/>
    <w:rsid w:val="009B67B8"/>
    <w:rsid w:val="00B03CCD"/>
    <w:rsid w:val="00F73F90"/>
    <w:rsid w:val="01474EBF"/>
    <w:rsid w:val="01F3521E"/>
    <w:rsid w:val="03B87EA0"/>
    <w:rsid w:val="03E3214F"/>
    <w:rsid w:val="044C50BA"/>
    <w:rsid w:val="05524683"/>
    <w:rsid w:val="05BC6D49"/>
    <w:rsid w:val="06194FF1"/>
    <w:rsid w:val="06A2550B"/>
    <w:rsid w:val="06F80EE2"/>
    <w:rsid w:val="07001CCA"/>
    <w:rsid w:val="075678DB"/>
    <w:rsid w:val="079D7CC7"/>
    <w:rsid w:val="08051BCA"/>
    <w:rsid w:val="086C12F4"/>
    <w:rsid w:val="08705944"/>
    <w:rsid w:val="08BA052C"/>
    <w:rsid w:val="08DB07BA"/>
    <w:rsid w:val="0969353F"/>
    <w:rsid w:val="098305D0"/>
    <w:rsid w:val="0A3317EA"/>
    <w:rsid w:val="0A5C4B69"/>
    <w:rsid w:val="0A86124A"/>
    <w:rsid w:val="0AB54CC0"/>
    <w:rsid w:val="0B9335CE"/>
    <w:rsid w:val="0BF2311A"/>
    <w:rsid w:val="0C7927C4"/>
    <w:rsid w:val="0C9B098C"/>
    <w:rsid w:val="0D673E11"/>
    <w:rsid w:val="0DDA54E4"/>
    <w:rsid w:val="0E3A5F83"/>
    <w:rsid w:val="0F836721"/>
    <w:rsid w:val="0FA25D96"/>
    <w:rsid w:val="107B59E5"/>
    <w:rsid w:val="10EC0126"/>
    <w:rsid w:val="10F70B9A"/>
    <w:rsid w:val="111445C7"/>
    <w:rsid w:val="114278C6"/>
    <w:rsid w:val="1158083A"/>
    <w:rsid w:val="11643A4B"/>
    <w:rsid w:val="11ED0F98"/>
    <w:rsid w:val="11F03528"/>
    <w:rsid w:val="12C921C4"/>
    <w:rsid w:val="13871C70"/>
    <w:rsid w:val="13A71CB4"/>
    <w:rsid w:val="13AF1D43"/>
    <w:rsid w:val="13CE1647"/>
    <w:rsid w:val="13FD55AB"/>
    <w:rsid w:val="14200702"/>
    <w:rsid w:val="163A6CEE"/>
    <w:rsid w:val="173708E3"/>
    <w:rsid w:val="17C374FC"/>
    <w:rsid w:val="189079DC"/>
    <w:rsid w:val="189B0D0B"/>
    <w:rsid w:val="18B43F7C"/>
    <w:rsid w:val="194A1770"/>
    <w:rsid w:val="19B906A4"/>
    <w:rsid w:val="1B6F15B6"/>
    <w:rsid w:val="1BAA2EDC"/>
    <w:rsid w:val="1CA55E64"/>
    <w:rsid w:val="1D014A01"/>
    <w:rsid w:val="1D022362"/>
    <w:rsid w:val="1D1B04B0"/>
    <w:rsid w:val="1DA52501"/>
    <w:rsid w:val="1DBD6767"/>
    <w:rsid w:val="1DC52125"/>
    <w:rsid w:val="1DD26311"/>
    <w:rsid w:val="1E374ACB"/>
    <w:rsid w:val="1ECF0A66"/>
    <w:rsid w:val="1EF67CA4"/>
    <w:rsid w:val="1F020D3A"/>
    <w:rsid w:val="1F2C5189"/>
    <w:rsid w:val="1F4B0B02"/>
    <w:rsid w:val="1FBB35CD"/>
    <w:rsid w:val="1FCD26AF"/>
    <w:rsid w:val="20642787"/>
    <w:rsid w:val="21556F04"/>
    <w:rsid w:val="22403BD3"/>
    <w:rsid w:val="24B92327"/>
    <w:rsid w:val="24C14514"/>
    <w:rsid w:val="2533755C"/>
    <w:rsid w:val="25791755"/>
    <w:rsid w:val="26396DF4"/>
    <w:rsid w:val="27167136"/>
    <w:rsid w:val="27B23302"/>
    <w:rsid w:val="29310A5F"/>
    <w:rsid w:val="29C37A35"/>
    <w:rsid w:val="2A076083"/>
    <w:rsid w:val="2A73162E"/>
    <w:rsid w:val="2B026E33"/>
    <w:rsid w:val="2B167953"/>
    <w:rsid w:val="2B200583"/>
    <w:rsid w:val="2B8209DE"/>
    <w:rsid w:val="2C6762A3"/>
    <w:rsid w:val="2FCA4B37"/>
    <w:rsid w:val="2FE029D7"/>
    <w:rsid w:val="2FF06E00"/>
    <w:rsid w:val="30586FEC"/>
    <w:rsid w:val="306C48B4"/>
    <w:rsid w:val="315F0B22"/>
    <w:rsid w:val="31D84415"/>
    <w:rsid w:val="32285F6F"/>
    <w:rsid w:val="32770556"/>
    <w:rsid w:val="329C0913"/>
    <w:rsid w:val="32AA0460"/>
    <w:rsid w:val="3337290D"/>
    <w:rsid w:val="33E31118"/>
    <w:rsid w:val="33EF7674"/>
    <w:rsid w:val="342D7BC6"/>
    <w:rsid w:val="352930DB"/>
    <w:rsid w:val="35573069"/>
    <w:rsid w:val="355F6038"/>
    <w:rsid w:val="358C217E"/>
    <w:rsid w:val="36C9128A"/>
    <w:rsid w:val="37841E99"/>
    <w:rsid w:val="37BF1123"/>
    <w:rsid w:val="383C3F15"/>
    <w:rsid w:val="38BE4696"/>
    <w:rsid w:val="3939115E"/>
    <w:rsid w:val="39B82A39"/>
    <w:rsid w:val="39C42CA8"/>
    <w:rsid w:val="39DC4FD6"/>
    <w:rsid w:val="39F03D7A"/>
    <w:rsid w:val="39F33306"/>
    <w:rsid w:val="3A2C1C67"/>
    <w:rsid w:val="3B1705E5"/>
    <w:rsid w:val="3B18334B"/>
    <w:rsid w:val="3B36794F"/>
    <w:rsid w:val="3C566AD6"/>
    <w:rsid w:val="3C6A5B02"/>
    <w:rsid w:val="3D2757A1"/>
    <w:rsid w:val="3D3D4FC4"/>
    <w:rsid w:val="3DDF3AB1"/>
    <w:rsid w:val="3E1D0952"/>
    <w:rsid w:val="3E42660A"/>
    <w:rsid w:val="3E7555B1"/>
    <w:rsid w:val="3E787ED9"/>
    <w:rsid w:val="3F032E93"/>
    <w:rsid w:val="3F0527E5"/>
    <w:rsid w:val="3F694D83"/>
    <w:rsid w:val="3F885DCC"/>
    <w:rsid w:val="3FCD675E"/>
    <w:rsid w:val="4004000C"/>
    <w:rsid w:val="411B6CE5"/>
    <w:rsid w:val="412070D7"/>
    <w:rsid w:val="41314E40"/>
    <w:rsid w:val="41B70A40"/>
    <w:rsid w:val="41E0734B"/>
    <w:rsid w:val="426C1EA8"/>
    <w:rsid w:val="42736402"/>
    <w:rsid w:val="42E86A87"/>
    <w:rsid w:val="43307B09"/>
    <w:rsid w:val="438C4686"/>
    <w:rsid w:val="439A3EB9"/>
    <w:rsid w:val="43BB152F"/>
    <w:rsid w:val="44C37687"/>
    <w:rsid w:val="45CB699A"/>
    <w:rsid w:val="463D70CE"/>
    <w:rsid w:val="465B470D"/>
    <w:rsid w:val="469D6AD4"/>
    <w:rsid w:val="471E6C84"/>
    <w:rsid w:val="4748792B"/>
    <w:rsid w:val="475D719D"/>
    <w:rsid w:val="47674801"/>
    <w:rsid w:val="48225EF7"/>
    <w:rsid w:val="488F422B"/>
    <w:rsid w:val="48E36915"/>
    <w:rsid w:val="495C4A24"/>
    <w:rsid w:val="497135DF"/>
    <w:rsid w:val="4A263DF2"/>
    <w:rsid w:val="4A6F6675"/>
    <w:rsid w:val="4B135857"/>
    <w:rsid w:val="4B7951CB"/>
    <w:rsid w:val="4B7C315C"/>
    <w:rsid w:val="4DAC4ACA"/>
    <w:rsid w:val="4DBE01D2"/>
    <w:rsid w:val="4F0C6BA3"/>
    <w:rsid w:val="4F186D58"/>
    <w:rsid w:val="50F06B6E"/>
    <w:rsid w:val="51D21804"/>
    <w:rsid w:val="52234D33"/>
    <w:rsid w:val="522F6E0C"/>
    <w:rsid w:val="52463BA1"/>
    <w:rsid w:val="52F163D4"/>
    <w:rsid w:val="531A2DB4"/>
    <w:rsid w:val="53C0244D"/>
    <w:rsid w:val="53DD4D4E"/>
    <w:rsid w:val="53E578CE"/>
    <w:rsid w:val="541330F0"/>
    <w:rsid w:val="54272666"/>
    <w:rsid w:val="543B029D"/>
    <w:rsid w:val="54861779"/>
    <w:rsid w:val="552256E1"/>
    <w:rsid w:val="554E5773"/>
    <w:rsid w:val="555A3CBC"/>
    <w:rsid w:val="5582012B"/>
    <w:rsid w:val="558E4E05"/>
    <w:rsid w:val="55BE2E85"/>
    <w:rsid w:val="56530F5D"/>
    <w:rsid w:val="567700D3"/>
    <w:rsid w:val="56FF7E9E"/>
    <w:rsid w:val="578867FC"/>
    <w:rsid w:val="5842572D"/>
    <w:rsid w:val="5A3B59D6"/>
    <w:rsid w:val="5AD134D8"/>
    <w:rsid w:val="5C263CE4"/>
    <w:rsid w:val="5C5D2777"/>
    <w:rsid w:val="5CF66BF3"/>
    <w:rsid w:val="5D290C69"/>
    <w:rsid w:val="5E973B2A"/>
    <w:rsid w:val="5F2D4A41"/>
    <w:rsid w:val="60C74F6C"/>
    <w:rsid w:val="61025A59"/>
    <w:rsid w:val="613D5BBC"/>
    <w:rsid w:val="61536C39"/>
    <w:rsid w:val="62944DD7"/>
    <w:rsid w:val="6319381F"/>
    <w:rsid w:val="63C25DC5"/>
    <w:rsid w:val="63C62057"/>
    <w:rsid w:val="64571EF5"/>
    <w:rsid w:val="64FB113D"/>
    <w:rsid w:val="656152C6"/>
    <w:rsid w:val="6587477F"/>
    <w:rsid w:val="658C3A08"/>
    <w:rsid w:val="65C031CA"/>
    <w:rsid w:val="65CE6852"/>
    <w:rsid w:val="66267C04"/>
    <w:rsid w:val="663F505A"/>
    <w:rsid w:val="66EE5541"/>
    <w:rsid w:val="67924660"/>
    <w:rsid w:val="68407834"/>
    <w:rsid w:val="6883293E"/>
    <w:rsid w:val="688412AD"/>
    <w:rsid w:val="68EB1B71"/>
    <w:rsid w:val="6AAD2300"/>
    <w:rsid w:val="6B474EF5"/>
    <w:rsid w:val="6BCA4DEE"/>
    <w:rsid w:val="6C560CAE"/>
    <w:rsid w:val="6C576495"/>
    <w:rsid w:val="6D903FF5"/>
    <w:rsid w:val="6DA955B8"/>
    <w:rsid w:val="6DE346AB"/>
    <w:rsid w:val="6DE5391A"/>
    <w:rsid w:val="6E7D83BC"/>
    <w:rsid w:val="6EFD1324"/>
    <w:rsid w:val="6F5A53AC"/>
    <w:rsid w:val="6FAC003D"/>
    <w:rsid w:val="6FE55E12"/>
    <w:rsid w:val="6FFB2E76"/>
    <w:rsid w:val="708F6F7F"/>
    <w:rsid w:val="70D94BD3"/>
    <w:rsid w:val="71C34D91"/>
    <w:rsid w:val="72DB435C"/>
    <w:rsid w:val="72E2613A"/>
    <w:rsid w:val="72F771F4"/>
    <w:rsid w:val="73934AD2"/>
    <w:rsid w:val="74B12342"/>
    <w:rsid w:val="750837F0"/>
    <w:rsid w:val="754758CF"/>
    <w:rsid w:val="764F62AB"/>
    <w:rsid w:val="765C45EC"/>
    <w:rsid w:val="768A7619"/>
    <w:rsid w:val="772E1EBA"/>
    <w:rsid w:val="781926BC"/>
    <w:rsid w:val="796D60A4"/>
    <w:rsid w:val="79A031D5"/>
    <w:rsid w:val="7A1525F7"/>
    <w:rsid w:val="7B420052"/>
    <w:rsid w:val="7BD06A28"/>
    <w:rsid w:val="7C0A4C9B"/>
    <w:rsid w:val="7C3A7C0B"/>
    <w:rsid w:val="7C5248E4"/>
    <w:rsid w:val="7C566698"/>
    <w:rsid w:val="7C5866A3"/>
    <w:rsid w:val="7D7406BB"/>
    <w:rsid w:val="7DE94331"/>
    <w:rsid w:val="7F2C7D5A"/>
    <w:rsid w:val="7F446A19"/>
    <w:rsid w:val="7F7452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99"/>
    <w:rPr>
      <w:rFonts w:hint="eastAsia" w:ascii="宋体" w:hAnsi="宋体" w:eastAsia="宋体" w:cs="Times New Roman"/>
      <w:sz w:val="24"/>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pPr>
    <w:rPr>
      <w:sz w:val="18"/>
      <w:szCs w:val="18"/>
    </w:rPr>
  </w:style>
  <w:style w:type="paragraph" w:styleId="3">
    <w:name w:val="header"/>
    <w:basedOn w:val="1"/>
    <w:qFormat/>
    <w:uiPriority w:val="0"/>
    <w:pPr>
      <w:tabs>
        <w:tab w:val="center" w:pos="4153"/>
        <w:tab w:val="right" w:pos="8306"/>
      </w:tabs>
      <w:snapToGrid w:val="0"/>
      <w:jc w:val="center"/>
    </w:pPr>
    <w:rPr>
      <w:sz w:val="18"/>
      <w:szCs w:val="18"/>
    </w:rPr>
  </w:style>
  <w:style w:type="paragraph" w:styleId="4">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5">
    <w:name w:val="Normal (Web)"/>
    <w:basedOn w:val="1"/>
    <w:unhideWhenUsed/>
    <w:qFormat/>
    <w:uiPriority w:val="0"/>
    <w:pPr>
      <w:spacing w:before="100" w:beforeAutospacing="1" w:after="100" w:afterAutospacing="1"/>
    </w:p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qFormat/>
    <w:uiPriority w:val="0"/>
    <w:rPr>
      <w:b/>
    </w:rPr>
  </w:style>
  <w:style w:type="paragraph" w:customStyle="1" w:styleId="10">
    <w:name w:val="列出段落1"/>
    <w:basedOn w:val="1"/>
    <w:qFormat/>
    <w:uiPriority w:val="99"/>
    <w:pPr>
      <w:ind w:firstLine="420" w:firstLineChars="200"/>
    </w:pPr>
    <w:rPr>
      <w:rFonts w:hint="default"/>
    </w:rPr>
  </w:style>
  <w:style w:type="paragraph" w:customStyle="1" w:styleId="11">
    <w:name w:val="普通(网站) Char"/>
    <w:qFormat/>
    <w:uiPriority w:val="0"/>
    <w:pPr>
      <w:spacing w:before="100" w:beforeAutospacing="1" w:after="100" w:afterAutospacing="1"/>
    </w:pPr>
    <w:rPr>
      <w:rFonts w:hint="default" w:ascii="宋体" w:hAnsi="宋体" w:eastAsia="宋体" w:cs="Times New Roman"/>
      <w:sz w:val="24"/>
      <w:szCs w:val="24"/>
      <w:lang w:val="en-US" w:eastAsia="zh-CN" w:bidi="ar-SA"/>
    </w:rPr>
  </w:style>
  <w:style w:type="character" w:customStyle="1" w:styleId="12">
    <w:name w:val="21"/>
    <w:qFormat/>
    <w:uiPriority w:val="0"/>
    <w:rPr>
      <w:rFonts w:hint="default" w:ascii="Wingdings" w:hAnsi="Wingdings" w:cs="Wingdings"/>
      <w:b/>
      <w:bCs/>
    </w:rPr>
  </w:style>
  <w:style w:type="paragraph" w:customStyle="1" w:styleId="13">
    <w:name w:val="List Paragraph"/>
    <w:qFormat/>
    <w:uiPriority w:val="99"/>
    <w:pPr>
      <w:ind w:firstLine="420" w:firstLineChars="200"/>
    </w:pPr>
    <w:rPr>
      <w:rFonts w:hint="default" w:ascii="宋体" w:hAnsi="宋体" w:eastAsia="宋体" w:cs="Times New Roman"/>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7517</Words>
  <Characters>8775</Characters>
  <Lines>161</Lines>
  <Paragraphs>45</Paragraphs>
  <TotalTime>0</TotalTime>
  <ScaleCrop>false</ScaleCrop>
  <LinksUpToDate>false</LinksUpToDate>
  <CharactersWithSpaces>9112</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2024-07-11T10:00:00Z</dcterms:created>
  <dc:creator>Administrator</dc:creator>
  <cp:lastModifiedBy>kylin</cp:lastModifiedBy>
  <dcterms:modified xsi:type="dcterms:W3CDTF">2025-09-18T10:37:28Z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BB46EABDBB2749749395447164B066B3_12</vt:lpwstr>
  </property>
  <property fmtid="{D5CDD505-2E9C-101B-9397-08002B2CF9AE}" pid="4" name="KSOTemplateDocerSaveRecord">
    <vt:lpwstr>eyJoZGlkIjoiMjI5NTM4ZThiZDdlMGFkNmU1ZTE4YjEwMDZlZjRkZWEiLCJ1c2VySWQiOiI1NDA4NzQ5MDIifQ==</vt:lpwstr>
  </property>
</Properties>
</file>