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方正小标宋_GBK" w:cs="Times New Roman"/>
          <w:sz w:val="36"/>
          <w:szCs w:val="36"/>
        </w:rPr>
      </w:pP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黔江区群众诉求服务中心</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方正小标宋_GBK" w:cs="Times New Roman"/>
          <w:sz w:val="36"/>
          <w:szCs w:val="36"/>
          <w:shd w:val="clear" w:color="auto" w:fill="FFFFFF"/>
        </w:rPr>
      </w:pPr>
      <w:r>
        <w:rPr>
          <w:rFonts w:hint="default" w:ascii="Times New Roman" w:hAnsi="Times New Roman" w:eastAsia="方正小标宋_GBK" w:cs="Times New Roman"/>
          <w:sz w:val="36"/>
          <w:szCs w:val="36"/>
          <w:shd w:val="clear" w:color="auto" w:fill="FFFFFF"/>
          <w:lang w:eastAsia="zh-CN"/>
        </w:rPr>
        <w:t>2024年</w:t>
      </w:r>
      <w:r>
        <w:rPr>
          <w:rFonts w:hint="default" w:ascii="Times New Roman" w:hAnsi="Times New Roman" w:eastAsia="方正小标宋_GBK" w:cs="Times New Roman"/>
          <w:sz w:val="36"/>
          <w:szCs w:val="36"/>
          <w:shd w:val="clear" w:color="auto" w:fill="FFFFFF"/>
        </w:rPr>
        <w:t>度决算</w:t>
      </w:r>
      <w:r>
        <w:rPr>
          <w:rFonts w:hint="default" w:ascii="Times New Roman" w:hAnsi="Times New Roman" w:eastAsia="方正小标宋_GBK" w:cs="Times New Roman"/>
          <w:sz w:val="36"/>
          <w:szCs w:val="36"/>
          <w:shd w:val="clear" w:color="auto" w:fill="FFFFFF"/>
          <w:lang w:eastAsia="zh-CN"/>
        </w:rPr>
        <w:t>公开</w:t>
      </w:r>
      <w:r>
        <w:rPr>
          <w:rFonts w:hint="default" w:ascii="Times New Roman" w:hAnsi="Times New Roman" w:eastAsia="方正小标宋_GBK" w:cs="Times New Roman"/>
          <w:sz w:val="36"/>
          <w:szCs w:val="36"/>
          <w:shd w:val="clear" w:color="auto" w:fill="FFFFFF"/>
        </w:rPr>
        <w:t>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方正小标宋_GBK" w:cs="Times New Roman"/>
          <w:sz w:val="36"/>
          <w:szCs w:val="36"/>
          <w:shd w:val="clear" w:color="auto" w:fill="FFFFFF"/>
        </w:rPr>
      </w:pP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一、部门基本情况</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（一）职能职责</w:t>
      </w:r>
    </w:p>
    <w:p>
      <w:pPr>
        <w:keepNext w:val="0"/>
        <w:keepLines w:val="0"/>
        <w:pageBreakBefore w:val="0"/>
        <w:widowControl/>
        <w:shd w:val="clear"/>
        <w:kinsoku/>
        <w:wordWrap/>
        <w:overflowPunct/>
        <w:topLinePunct w:val="0"/>
        <w:autoSpaceDN/>
        <w:bidi w:val="0"/>
        <w:adjustRightInd/>
        <w:spacing w:beforeAutospacing="0" w:afterAutospacing="0" w:line="56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负责集中办理群众来信，接待群众来访以及受理其他诉求；负责信访问题网上登记、受理、办理、回复等有关工作；负责收集汇总、分析、研判社情民意；负责办理信访公开电话、公开信箱反映的信访问题；负责信访网络建设、办公自动化等有关工作；负责全国信访信息系统、干部下访群众登记系统的管理、维护等有关工作；负责对大厅窗口单位派驻人员的管理和考核工作。</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eastAsia" w:ascii="Times New Roman" w:hAnsi="Times New Roman" w:eastAsia="方正楷体_GBK" w:cs="Times New Roman"/>
          <w:b w:val="0"/>
          <w:bCs/>
          <w:sz w:val="32"/>
          <w:szCs w:val="32"/>
          <w:shd w:val="clear" w:color="auto" w:fill="FFFFFF"/>
          <w:lang w:eastAsia="zh-CN"/>
        </w:rPr>
        <w:t>（</w:t>
      </w:r>
      <w:r>
        <w:rPr>
          <w:rStyle w:val="10"/>
          <w:rFonts w:hint="eastAsia" w:ascii="Times New Roman" w:hAnsi="Times New Roman" w:eastAsia="方正楷体_GBK" w:cs="Times New Roman"/>
          <w:b w:val="0"/>
          <w:bCs/>
          <w:sz w:val="32"/>
          <w:szCs w:val="32"/>
          <w:shd w:val="clear" w:color="auto" w:fill="FFFFFF"/>
          <w:lang w:val="en-US" w:eastAsia="zh-CN"/>
        </w:rPr>
        <w:t>二</w:t>
      </w:r>
      <w:r>
        <w:rPr>
          <w:rStyle w:val="10"/>
          <w:rFonts w:hint="eastAsia" w:ascii="Times New Roman" w:hAnsi="Times New Roman" w:eastAsia="方正楷体_GBK" w:cs="Times New Roman"/>
          <w:b w:val="0"/>
          <w:bCs/>
          <w:sz w:val="32"/>
          <w:szCs w:val="32"/>
          <w:shd w:val="clear" w:color="auto" w:fill="FFFFFF"/>
          <w:lang w:eastAsia="zh-CN"/>
        </w:rPr>
        <w:t>）</w:t>
      </w:r>
      <w:r>
        <w:rPr>
          <w:rStyle w:val="10"/>
          <w:rFonts w:hint="default" w:ascii="Times New Roman" w:hAnsi="Times New Roman" w:eastAsia="方正楷体_GBK" w:cs="Times New Roman"/>
          <w:b w:val="0"/>
          <w:bCs/>
          <w:sz w:val="32"/>
          <w:szCs w:val="32"/>
          <w:shd w:val="clear" w:color="auto" w:fill="FFFFFF"/>
        </w:rPr>
        <w:t>单位构成</w:t>
      </w:r>
    </w:p>
    <w:p>
      <w:pPr>
        <w:pStyle w:val="6"/>
        <w:keepNext w:val="0"/>
        <w:keepLines w:val="0"/>
        <w:pageBreakBefore w:val="0"/>
        <w:widowControl/>
        <w:shd w:val="clear"/>
        <w:kinsoku/>
        <w:wordWrap/>
        <w:overflowPunct/>
        <w:topLinePunct w:val="0"/>
        <w:autoSpaceDE/>
        <w:autoSpaceDN/>
        <w:bidi w:val="0"/>
        <w:adjustRightInd/>
        <w:spacing w:beforeAutospacing="0" w:after="0" w:afterAutospacing="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本部门设有一个中心（黔江区群众诉求服务中心，全额拨款事业单位）。有在职职工</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14:textFill>
            <w14:solidFill>
              <w14:schemeClr w14:val="tx1"/>
            </w14:solidFill>
          </w14:textFill>
        </w:rPr>
        <w:t>人，事业编制</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14:textFill>
            <w14:solidFill>
              <w14:schemeClr w14:val="tx1"/>
            </w14:solidFill>
          </w14:textFill>
        </w:rPr>
        <w:t>人</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一般预算财政拨款开支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人员（事业管理人员和专业技术人员）6</w:t>
      </w:r>
      <w:r>
        <w:rPr>
          <w:rFonts w:hint="default" w:ascii="Times New Roman" w:hAnsi="Times New Roman" w:eastAsia="方正仿宋_GBK" w:cs="Times New Roman"/>
          <w:color w:val="000000" w:themeColor="text1"/>
          <w:sz w:val="32"/>
          <w:szCs w:val="32"/>
          <w14:textFill>
            <w14:solidFill>
              <w14:schemeClr w14:val="tx1"/>
            </w14:solidFill>
          </w14:textFill>
        </w:rPr>
        <w:t>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二、部门决算情况说明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（一）收入支出决算总体情况说明</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Style w:val="10"/>
          <w:rFonts w:hint="default" w:ascii="Times New Roman" w:hAnsi="Times New Roman" w:eastAsia="方正仿宋_GBK" w:cs="Times New Roman"/>
          <w:sz w:val="32"/>
          <w:szCs w:val="32"/>
          <w:shd w:val="clear" w:color="auto" w:fill="FFFFFF"/>
        </w:rPr>
        <w:t>1.总体情况。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度收入总计124.31万元，支出总计</w:t>
      </w:r>
      <w:r>
        <w:rPr>
          <w:rFonts w:hint="default" w:ascii="Times New Roman" w:hAnsi="Times New Roman" w:eastAsia="方正仿宋_GBK" w:cs="Times New Roman"/>
          <w:sz w:val="32"/>
          <w:szCs w:val="32"/>
        </w:rPr>
        <w:t>124.31</w:t>
      </w:r>
      <w:r>
        <w:rPr>
          <w:rFonts w:hint="default" w:ascii="Times New Roman" w:hAnsi="Times New Roman" w:eastAsia="方正仿宋_GBK" w:cs="Times New Roman"/>
          <w:sz w:val="32"/>
          <w:szCs w:val="32"/>
          <w:shd w:val="clear" w:color="auto" w:fill="FFFFFF"/>
        </w:rPr>
        <w:t>万元。收、支与2023年度相比，增加124.31万元，增长100.0%，主要原因是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p>
    <w:p>
      <w:pPr>
        <w:pStyle w:val="6"/>
        <w:keepNext w:val="0"/>
        <w:keepLines w:val="0"/>
        <w:pageBreakBefore w:val="0"/>
        <w:widowControl/>
        <w:shd w:val="clear"/>
        <w:kinsoku/>
        <w:wordWrap/>
        <w:overflowPunct/>
        <w:topLinePunct w:val="0"/>
        <w:autoSpaceDN/>
        <w:bidi w:val="0"/>
        <w:adjustRightInd/>
        <w:spacing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2.收入情况。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度收入合计124.31万元，与2023年度相比，增加124.31万元，增长100.0%，主要原因是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default" w:ascii="Times New Roman" w:hAnsi="Times New Roman" w:eastAsia="方正仿宋_GBK" w:cs="Times New Roman"/>
          <w:sz w:val="32"/>
          <w:szCs w:val="32"/>
          <w:shd w:val="clear" w:color="auto" w:fill="FFFFFF"/>
        </w:rPr>
        <w:t>其中：财政拨款收入</w:t>
      </w:r>
      <w:r>
        <w:rPr>
          <w:rFonts w:hint="default" w:ascii="Times New Roman" w:hAnsi="Times New Roman" w:eastAsia="方正仿宋_GBK" w:cs="Times New Roman"/>
          <w:sz w:val="32"/>
          <w:szCs w:val="32"/>
        </w:rPr>
        <w:t>124.31</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%；事业收入</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万元，占0.00%；经营收入</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万元，占0.00%；其他收入</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万元，占0.00%。此外，使用非财政拨款结余和专用结余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万元，年初结转和结余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3.支出情况。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度支出合计</w:t>
      </w:r>
      <w:r>
        <w:rPr>
          <w:rFonts w:hint="default" w:ascii="Times New Roman" w:hAnsi="Times New Roman" w:eastAsia="方正仿宋_GBK" w:cs="Times New Roman"/>
          <w:sz w:val="32"/>
          <w:szCs w:val="32"/>
        </w:rPr>
        <w:t>124.31</w:t>
      </w:r>
      <w:r>
        <w:rPr>
          <w:rFonts w:hint="default" w:ascii="Times New Roman" w:hAnsi="Times New Roman" w:eastAsia="方正仿宋_GBK" w:cs="Times New Roman"/>
          <w:sz w:val="32"/>
          <w:szCs w:val="32"/>
          <w:shd w:val="clear" w:color="auto" w:fill="FFFFFF"/>
        </w:rPr>
        <w:t>万元，与2023年度相比，增加124.31万元，增长100.0%，主要原因是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default" w:ascii="Times New Roman" w:hAnsi="Times New Roman" w:eastAsia="方正仿宋_GBK" w:cs="Times New Roman"/>
          <w:sz w:val="32"/>
          <w:szCs w:val="32"/>
          <w:shd w:val="clear" w:color="auto" w:fill="FFFFFF"/>
        </w:rPr>
        <w:t>其中：基本支出</w:t>
      </w:r>
      <w:r>
        <w:rPr>
          <w:rFonts w:hint="default" w:ascii="Times New Roman" w:hAnsi="Times New Roman" w:eastAsia="方正仿宋_GBK" w:cs="Times New Roman"/>
          <w:sz w:val="32"/>
          <w:szCs w:val="32"/>
        </w:rPr>
        <w:t>124.31</w:t>
      </w:r>
      <w:r>
        <w:rPr>
          <w:rFonts w:hint="default" w:ascii="Times New Roman" w:hAnsi="Times New Roman" w:eastAsia="方正仿宋_GBK" w:cs="Times New Roman"/>
          <w:sz w:val="32"/>
          <w:szCs w:val="32"/>
          <w:shd w:val="clear" w:color="auto" w:fill="FFFFFF"/>
        </w:rPr>
        <w:t>万元，占100.00%；项目支出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万元，占0.00%。此外，结余分配</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4.结转结余情况。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度年末结转和结余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万元，与2023年度相比，无增减，主要原因是</w:t>
      </w:r>
      <w:r>
        <w:rPr>
          <w:rFonts w:hint="default" w:ascii="Times New Roman" w:hAnsi="Times New Roman" w:eastAsia="方正仿宋_GBK" w:cs="Times New Roman"/>
          <w:color w:val="FF0000"/>
          <w:sz w:val="32"/>
          <w:szCs w:val="32"/>
          <w:shd w:val="clear" w:color="auto" w:fill="FFFFFF"/>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（二）财政拨款收入支出决算总体情况说明</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度财政拨款收、支总计124.31万元。与2022年相比，财政拨款收、支总计各增加124.31万元，增长100.0%。主要原因是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（三）一般公共预算财政拨款收入支出决算情况说明</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度一般公共预算财政拨款收入</w:t>
      </w:r>
      <w:r>
        <w:rPr>
          <w:rFonts w:hint="default" w:ascii="Times New Roman" w:hAnsi="Times New Roman" w:eastAsia="方正仿宋_GBK" w:cs="Times New Roman"/>
          <w:sz w:val="32"/>
          <w:szCs w:val="32"/>
        </w:rPr>
        <w:t>124.31</w:t>
      </w:r>
      <w:r>
        <w:rPr>
          <w:rFonts w:hint="default" w:ascii="Times New Roman" w:hAnsi="Times New Roman" w:eastAsia="方正仿宋_GBK" w:cs="Times New Roman"/>
          <w:sz w:val="32"/>
          <w:szCs w:val="32"/>
          <w:shd w:val="clear" w:color="auto" w:fill="FFFFFF"/>
        </w:rPr>
        <w:t>万元，与2023年度相比，增加124.31万元，增长100.0%。主要原因是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default" w:ascii="Times New Roman" w:hAnsi="Times New Roman" w:eastAsia="方正仿宋_GBK" w:cs="Times New Roman"/>
          <w:sz w:val="32"/>
          <w:szCs w:val="32"/>
          <w:shd w:val="clear" w:color="auto" w:fill="FFFFFF"/>
        </w:rPr>
        <w:t>较年初预算数增加8.17万元，增长7.0%。主要原因是</w:t>
      </w:r>
      <w:r>
        <w:rPr>
          <w:rFonts w:hint="default" w:ascii="Times New Roman" w:hAnsi="Times New Roman" w:eastAsia="方正仿宋_GBK" w:cs="Times New Roman"/>
          <w:sz w:val="32"/>
          <w:szCs w:val="32"/>
          <w:shd w:val="clear" w:color="auto" w:fill="FFFFFF"/>
          <w:lang w:eastAsia="zh-CN"/>
        </w:rPr>
        <w:t>基本工资调标、养老保险、职业年金增加。</w:t>
      </w:r>
      <w:r>
        <w:rPr>
          <w:rFonts w:hint="default" w:ascii="Times New Roman" w:hAnsi="Times New Roman" w:eastAsia="方正仿宋_GBK" w:cs="Times New Roman"/>
          <w:sz w:val="32"/>
          <w:szCs w:val="32"/>
          <w:shd w:val="clear" w:color="auto" w:fill="FFFFFF"/>
        </w:rPr>
        <w:t>此外，年初财政拨款结转和结余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度一般公共预算财政拨款支出</w:t>
      </w:r>
      <w:r>
        <w:rPr>
          <w:rFonts w:hint="default" w:ascii="Times New Roman" w:hAnsi="Times New Roman" w:eastAsia="方正仿宋_GBK" w:cs="Times New Roman"/>
          <w:sz w:val="32"/>
          <w:szCs w:val="32"/>
        </w:rPr>
        <w:t>124.31</w:t>
      </w:r>
      <w:r>
        <w:rPr>
          <w:rFonts w:hint="default" w:ascii="Times New Roman" w:hAnsi="Times New Roman" w:eastAsia="方正仿宋_GBK" w:cs="Times New Roman"/>
          <w:sz w:val="32"/>
          <w:szCs w:val="32"/>
          <w:shd w:val="clear" w:color="auto" w:fill="FFFFFF"/>
        </w:rPr>
        <w:t>万元，与2023年度相比，增加124.31万元，增长100.0%。主要原因是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default" w:ascii="Times New Roman" w:hAnsi="Times New Roman" w:eastAsia="方正仿宋_GBK" w:cs="Times New Roman"/>
          <w:sz w:val="32"/>
          <w:szCs w:val="32"/>
          <w:shd w:val="clear" w:color="auto" w:fill="FFFFFF"/>
        </w:rPr>
        <w:t>较年初预算数增加8.17万元，增长7.0%。主要原因是</w:t>
      </w:r>
      <w:r>
        <w:rPr>
          <w:rFonts w:hint="default" w:ascii="Times New Roman" w:hAnsi="Times New Roman" w:eastAsia="方正仿宋_GBK" w:cs="Times New Roman"/>
          <w:sz w:val="32"/>
          <w:szCs w:val="32"/>
          <w:shd w:val="clear" w:color="auto" w:fill="FFFFFF"/>
          <w:lang w:eastAsia="zh-CN"/>
        </w:rPr>
        <w:t>基本工资调标、养老保险、职业年金增加。</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度年末一般公共预算财政拨款结转和结余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万元，与2023年度相比，无增减，主要原因是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color w:val="FF0000"/>
          <w:sz w:val="32"/>
          <w:szCs w:val="32"/>
          <w:highlight w:val="cyan"/>
          <w:shd w:val="clear" w:color="auto" w:fill="FFFFFF"/>
        </w:rPr>
      </w:pPr>
      <w:r>
        <w:rPr>
          <w:rStyle w:val="10"/>
          <w:rFonts w:hint="default" w:ascii="Times New Roman" w:hAnsi="Times New Roman" w:eastAsia="方正仿宋_GBK" w:cs="Times New Roman"/>
          <w:sz w:val="32"/>
          <w:szCs w:val="32"/>
          <w:shd w:val="clear" w:color="auto" w:fill="FFFFFF"/>
        </w:rPr>
        <w:t>4.比较情况。</w:t>
      </w:r>
      <w:r>
        <w:rPr>
          <w:rFonts w:hint="default" w:ascii="Times New Roman" w:hAnsi="Times New Roman" w:eastAsia="方正仿宋_GBK" w:cs="Times New Roman"/>
          <w:sz w:val="32"/>
          <w:szCs w:val="32"/>
          <w:shd w:val="clear" w:color="auto" w:fill="FFFFFF"/>
        </w:rPr>
        <w:t>本部门</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度一般公共预算财政拨款支出主要用于以下几个方面：</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（1）一般公共服务支出</w:t>
      </w:r>
      <w:r>
        <w:rPr>
          <w:rFonts w:hint="default" w:ascii="Times New Roman" w:hAnsi="Times New Roman" w:eastAsia="方正仿宋_GBK" w:cs="Times New Roman"/>
          <w:sz w:val="32"/>
          <w:szCs w:val="32"/>
        </w:rPr>
        <w:t>95.40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76.74</w:t>
      </w:r>
      <w:r>
        <w:rPr>
          <w:rFonts w:hint="default" w:ascii="Times New Roman" w:hAnsi="Times New Roman" w:eastAsia="方正仿宋_GBK" w:cs="Times New Roman"/>
          <w:sz w:val="32"/>
          <w:szCs w:val="32"/>
          <w:shd w:val="clear" w:color="auto" w:fill="FFFFFF"/>
        </w:rPr>
        <w:t>%，较年初预算数增加2.81万元，增长3.0%，主要原因</w:t>
      </w:r>
      <w:r>
        <w:rPr>
          <w:rFonts w:hint="default" w:ascii="Times New Roman" w:hAnsi="Times New Roman" w:eastAsia="方正仿宋_GBK" w:cs="Times New Roman"/>
          <w:sz w:val="32"/>
          <w:szCs w:val="32"/>
          <w:shd w:val="clear" w:color="auto" w:fill="FFFFFF"/>
          <w:lang w:eastAsia="zh-CN"/>
        </w:rPr>
        <w:t>是基本工资调标</w:t>
      </w:r>
      <w:r>
        <w:rPr>
          <w:rFonts w:hint="eastAsia" w:ascii="Times New Roman" w:hAnsi="Times New Roman" w:eastAsia="方正仿宋_GBK" w:cs="Times New Roman"/>
          <w:sz w:val="32"/>
          <w:szCs w:val="32"/>
          <w:shd w:val="clear" w:color="auto" w:fill="FFFFFF"/>
          <w:lang w:eastAsia="zh-CN"/>
        </w:rPr>
        <w:t>。</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）社会保障与就业支出</w:t>
      </w:r>
      <w:r>
        <w:rPr>
          <w:rFonts w:hint="default" w:ascii="Times New Roman" w:hAnsi="Times New Roman" w:eastAsia="方正仿宋_GBK" w:cs="Times New Roman"/>
          <w:sz w:val="32"/>
          <w:szCs w:val="32"/>
        </w:rPr>
        <w:t>16.90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13.60</w:t>
      </w:r>
      <w:r>
        <w:rPr>
          <w:rFonts w:hint="default" w:ascii="Times New Roman" w:hAnsi="Times New Roman" w:eastAsia="方正仿宋_GBK" w:cs="Times New Roman"/>
          <w:sz w:val="32"/>
          <w:szCs w:val="32"/>
          <w:shd w:val="clear" w:color="auto" w:fill="FFFFFF"/>
        </w:rPr>
        <w:t>%，较年初预算数增加5.37万元，增长46.6%，主要原因是</w:t>
      </w:r>
      <w:r>
        <w:rPr>
          <w:rFonts w:hint="default" w:ascii="Times New Roman" w:hAnsi="Times New Roman" w:eastAsia="方正仿宋_GBK" w:cs="Times New Roman"/>
          <w:sz w:val="32"/>
          <w:szCs w:val="32"/>
          <w:shd w:val="clear" w:color="auto" w:fill="FFFFFF"/>
          <w:lang w:eastAsia="zh-CN"/>
        </w:rPr>
        <w:t>补缴</w:t>
      </w:r>
      <w:r>
        <w:rPr>
          <w:rFonts w:hint="default" w:ascii="Times New Roman" w:hAnsi="Times New Roman" w:eastAsia="方正仿宋_GBK" w:cs="Times New Roman"/>
          <w:sz w:val="32"/>
          <w:szCs w:val="32"/>
          <w:shd w:val="clear" w:color="auto" w:fill="FFFFFF"/>
          <w:lang w:val="en-US" w:eastAsia="zh-CN"/>
        </w:rPr>
        <w:t>2024年养老保险、职业年金。</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）卫生健康支出</w:t>
      </w:r>
      <w:r>
        <w:rPr>
          <w:rFonts w:hint="default" w:ascii="Times New Roman" w:hAnsi="Times New Roman" w:eastAsia="方正仿宋_GBK" w:cs="Times New Roman"/>
          <w:sz w:val="32"/>
          <w:szCs w:val="32"/>
        </w:rPr>
        <w:t>6.25</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5.02</w:t>
      </w:r>
      <w:r>
        <w:rPr>
          <w:rFonts w:hint="default" w:ascii="Times New Roman" w:hAnsi="Times New Roman" w:eastAsia="方正仿宋_GBK" w:cs="Times New Roman"/>
          <w:sz w:val="32"/>
          <w:szCs w:val="32"/>
          <w:shd w:val="clear" w:color="auto" w:fill="FFFFFF"/>
        </w:rPr>
        <w:t>%，较年初预算数无增减，主要原因是</w:t>
      </w:r>
      <w:r>
        <w:rPr>
          <w:rFonts w:hint="default" w:ascii="Times New Roman" w:hAnsi="Times New Roman" w:eastAsia="方正仿宋_GBK" w:cs="Times New Roman"/>
          <w:sz w:val="32"/>
          <w:szCs w:val="32"/>
          <w:shd w:val="clear" w:color="auto" w:fill="FFFFFF"/>
          <w:lang w:eastAsia="zh-CN"/>
        </w:rPr>
        <w:t>缴纳基数与预算基数一致。</w:t>
      </w:r>
    </w:p>
    <w:p>
      <w:pPr>
        <w:keepNext w:val="0"/>
        <w:keepLines w:val="0"/>
        <w:pageBreakBefore w:val="0"/>
        <w:widowControl/>
        <w:shd w:val="clear"/>
        <w:kinsoku/>
        <w:wordWrap/>
        <w:overflowPunct/>
        <w:topLinePunct w:val="0"/>
        <w:autoSpaceDN/>
        <w:bidi w:val="0"/>
        <w:adjustRightInd/>
        <w:spacing w:beforeAutospacing="0" w:afterAutospacing="0" w:line="560" w:lineRule="exact"/>
        <w:ind w:firstLine="640" w:firstLineChars="200"/>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住房保障支出5.77</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4.64</w:t>
      </w:r>
      <w:r>
        <w:rPr>
          <w:rFonts w:hint="default" w:ascii="Times New Roman" w:hAnsi="Times New Roman" w:eastAsia="方正仿宋_GBK" w:cs="Times New Roman"/>
          <w:sz w:val="32"/>
          <w:szCs w:val="32"/>
          <w:shd w:val="clear" w:color="auto" w:fill="FFFFFF"/>
        </w:rPr>
        <w:t>%，较年初预算数无增减，主要原因是</w:t>
      </w:r>
      <w:r>
        <w:rPr>
          <w:rFonts w:hint="default" w:ascii="Times New Roman" w:hAnsi="Times New Roman" w:eastAsia="方正仿宋_GBK" w:cs="Times New Roman"/>
          <w:sz w:val="32"/>
          <w:szCs w:val="32"/>
          <w:shd w:val="clear" w:color="auto" w:fill="FFFFFF"/>
          <w:lang w:eastAsia="zh-CN"/>
        </w:rPr>
        <w:t>缴纳基数与预算基数一致。</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（四）一般公共预算财政拨款基本支出决算情况说明</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度一般公共财政拨款基本支出</w:t>
      </w:r>
      <w:r>
        <w:rPr>
          <w:rFonts w:hint="default" w:ascii="Times New Roman" w:hAnsi="Times New Roman" w:eastAsia="方正仿宋_GBK" w:cs="Times New Roman"/>
          <w:sz w:val="32"/>
          <w:szCs w:val="32"/>
        </w:rPr>
        <w:t>124.31</w:t>
      </w:r>
      <w:r>
        <w:rPr>
          <w:rFonts w:hint="default" w:ascii="Times New Roman" w:hAnsi="Times New Roman" w:eastAsia="方正仿宋_GBK" w:cs="Times New Roman"/>
          <w:sz w:val="32"/>
          <w:szCs w:val="32"/>
          <w:shd w:val="clear" w:color="auto" w:fill="FFFFFF"/>
        </w:rPr>
        <w:t>万元。其中：人员经费</w:t>
      </w:r>
      <w:r>
        <w:rPr>
          <w:rFonts w:hint="default" w:ascii="Times New Roman" w:hAnsi="Times New Roman" w:eastAsia="方正仿宋_GBK" w:cs="Times New Roman"/>
          <w:sz w:val="32"/>
          <w:szCs w:val="32"/>
        </w:rPr>
        <w:t>113.38</w:t>
      </w:r>
      <w:r>
        <w:rPr>
          <w:rFonts w:hint="default" w:ascii="Times New Roman" w:hAnsi="Times New Roman" w:eastAsia="方正仿宋_GBK" w:cs="Times New Roman"/>
          <w:sz w:val="32"/>
          <w:szCs w:val="32"/>
          <w:shd w:val="clear" w:color="auto" w:fill="FFFFFF"/>
        </w:rPr>
        <w:t>万元，与2023年度相比，增加113.38万元，增长100.0%，主要原因是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default" w:ascii="Times New Roman" w:hAnsi="Times New Roman" w:eastAsia="方正仿宋_GBK" w:cs="Times New Roman"/>
          <w:sz w:val="32"/>
          <w:szCs w:val="32"/>
          <w:shd w:val="clear" w:color="auto" w:fill="FFFFFF"/>
        </w:rPr>
        <w:t>人员经费用途主要包括</w:t>
      </w:r>
      <w:r>
        <w:rPr>
          <w:rFonts w:hint="default" w:ascii="Times New Roman" w:hAnsi="Times New Roman" w:eastAsia="方正仿宋_GBK" w:cs="Times New Roman"/>
          <w:sz w:val="32"/>
          <w:szCs w:val="32"/>
          <w:shd w:val="clear" w:color="auto" w:fill="FFFFFF"/>
          <w:lang w:eastAsia="zh-CN"/>
        </w:rPr>
        <w:t>基本工资、津贴补贴、绩效工资、</w:t>
      </w:r>
      <w:r>
        <w:rPr>
          <w:rFonts w:hint="default" w:ascii="Times New Roman" w:hAnsi="Times New Roman" w:eastAsia="方正仿宋_GBK" w:cs="Times New Roman"/>
          <w:b w:val="0"/>
          <w:bCs/>
          <w:sz w:val="32"/>
          <w:szCs w:val="32"/>
          <w:shd w:val="clear" w:color="auto" w:fill="FFFFFF"/>
          <w:lang w:eastAsia="zh-CN"/>
        </w:rPr>
        <w:t>社会保障缴费、住房公积金。</w:t>
      </w:r>
      <w:r>
        <w:rPr>
          <w:rFonts w:hint="default" w:ascii="Times New Roman" w:hAnsi="Times New Roman" w:eastAsia="方正仿宋_GBK" w:cs="Times New Roman"/>
          <w:sz w:val="32"/>
          <w:szCs w:val="32"/>
          <w:shd w:val="clear" w:color="auto" w:fill="FFFFFF"/>
        </w:rPr>
        <w:t>公用经费</w:t>
      </w:r>
      <w:r>
        <w:rPr>
          <w:rFonts w:hint="default" w:ascii="Times New Roman" w:hAnsi="Times New Roman" w:eastAsia="方正仿宋_GBK" w:cs="Times New Roman"/>
          <w:sz w:val="32"/>
          <w:szCs w:val="32"/>
        </w:rPr>
        <w:t>10.94</w:t>
      </w:r>
      <w:r>
        <w:rPr>
          <w:rFonts w:hint="default" w:ascii="Times New Roman" w:hAnsi="Times New Roman" w:eastAsia="方正仿宋_GBK" w:cs="Times New Roman"/>
          <w:sz w:val="32"/>
          <w:szCs w:val="32"/>
          <w:shd w:val="clear" w:color="auto" w:fill="FFFFFF"/>
        </w:rPr>
        <w:t>万元，与2023年度相比，增加10.94万元，增长100.0%，主要原因是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default" w:ascii="Times New Roman" w:hAnsi="Times New Roman" w:eastAsia="方正仿宋_GBK" w:cs="Times New Roman"/>
          <w:sz w:val="32"/>
          <w:szCs w:val="32"/>
          <w:shd w:val="clear" w:color="auto" w:fill="FFFFFF"/>
        </w:rPr>
        <w:t>公用经费用途主要包括</w:t>
      </w:r>
      <w:r>
        <w:rPr>
          <w:rFonts w:hint="default" w:ascii="Times New Roman" w:hAnsi="Times New Roman" w:eastAsia="方正仿宋_GBK" w:cs="Times New Roman"/>
          <w:b w:val="0"/>
          <w:bCs/>
          <w:sz w:val="32"/>
          <w:szCs w:val="32"/>
          <w:shd w:val="clear" w:color="auto" w:fill="FFFFFF"/>
          <w:lang w:eastAsia="zh-CN"/>
        </w:rPr>
        <w:t>办公费、电费、邮电费、差旅费、培训费、工会经费、福利费等。</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（五）政府性基金预算收支决算情况说明</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sz w:val="32"/>
          <w:szCs w:val="32"/>
          <w:shd w:val="clear" w:color="auto" w:fill="FFFFFF"/>
          <w:lang w:eastAsia="zh-CN"/>
        </w:rPr>
      </w:pPr>
      <w:r>
        <w:rPr>
          <w:rFonts w:hint="default" w:ascii="Times New Roman" w:hAnsi="Times New Roman" w:eastAsia="方正仿宋_GBK" w:cs="Times New Roman"/>
          <w:b w:val="0"/>
          <w:bCs/>
          <w:sz w:val="32"/>
          <w:szCs w:val="32"/>
          <w:shd w:val="clear" w:color="auto" w:fill="FFFFFF"/>
          <w:lang w:eastAsia="zh-CN"/>
        </w:rPr>
        <w:t>本部门202</w:t>
      </w:r>
      <w:r>
        <w:rPr>
          <w:rFonts w:hint="default" w:ascii="Times New Roman" w:hAnsi="Times New Roman" w:eastAsia="方正仿宋_GBK" w:cs="Times New Roman"/>
          <w:b w:val="0"/>
          <w:bCs/>
          <w:sz w:val="32"/>
          <w:szCs w:val="32"/>
          <w:shd w:val="clear" w:color="auto" w:fill="FFFFFF"/>
          <w:lang w:val="en-US" w:eastAsia="zh-CN"/>
        </w:rPr>
        <w:t>4</w:t>
      </w:r>
      <w:r>
        <w:rPr>
          <w:rFonts w:hint="default" w:ascii="Times New Roman" w:hAnsi="Times New Roman" w:eastAsia="方正仿宋_GBK" w:cs="Times New Roman"/>
          <w:b w:val="0"/>
          <w:bCs/>
          <w:sz w:val="32"/>
          <w:szCs w:val="32"/>
          <w:shd w:val="clear" w:color="auto" w:fill="FFFFFF"/>
          <w:lang w:eastAsia="zh-CN"/>
        </w:rPr>
        <w:t>年度无政府性基金预算财政拨款收支。</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eastAsia" w:ascii="Times New Roman" w:hAnsi="Times New Roman" w:eastAsia="方正楷体_GBK" w:cs="Times New Roman"/>
          <w:b w:val="0"/>
          <w:bCs/>
          <w:sz w:val="32"/>
          <w:szCs w:val="32"/>
          <w:shd w:val="clear" w:color="auto" w:fill="FFFFFF"/>
          <w:lang w:eastAsia="zh-CN"/>
        </w:rPr>
        <w:t>（</w:t>
      </w:r>
      <w:r>
        <w:rPr>
          <w:rStyle w:val="10"/>
          <w:rFonts w:hint="eastAsia" w:ascii="Times New Roman" w:hAnsi="Times New Roman" w:eastAsia="方正楷体_GBK" w:cs="Times New Roman"/>
          <w:b w:val="0"/>
          <w:bCs/>
          <w:sz w:val="32"/>
          <w:szCs w:val="32"/>
          <w:shd w:val="clear" w:color="auto" w:fill="FFFFFF"/>
          <w:lang w:val="en-US" w:eastAsia="zh-CN"/>
        </w:rPr>
        <w:t>六</w:t>
      </w:r>
      <w:r>
        <w:rPr>
          <w:rStyle w:val="10"/>
          <w:rFonts w:hint="eastAsia" w:ascii="Times New Roman" w:hAnsi="Times New Roman" w:eastAsia="方正楷体_GBK" w:cs="Times New Roman"/>
          <w:b w:val="0"/>
          <w:bCs/>
          <w:sz w:val="32"/>
          <w:szCs w:val="32"/>
          <w:shd w:val="clear" w:color="auto" w:fill="FFFFFF"/>
          <w:lang w:eastAsia="zh-CN"/>
        </w:rPr>
        <w:t>）</w:t>
      </w:r>
      <w:r>
        <w:rPr>
          <w:rStyle w:val="10"/>
          <w:rFonts w:hint="default" w:ascii="Times New Roman" w:hAnsi="Times New Roman" w:eastAsia="方正楷体_GBK" w:cs="Times New Roman"/>
          <w:b w:val="0"/>
          <w:bCs/>
          <w:sz w:val="32"/>
          <w:szCs w:val="32"/>
          <w:shd w:val="clear" w:color="auto" w:fill="FFFFFF"/>
        </w:rPr>
        <w:t>国有资本经营预算财政拨款支出决算情况说明</w:t>
      </w:r>
    </w:p>
    <w:p>
      <w:pPr>
        <w:pStyle w:val="11"/>
        <w:keepNext w:val="0"/>
        <w:keepLines w:val="0"/>
        <w:pageBreakBefore w:val="0"/>
        <w:widowControl/>
        <w:numPr>
          <w:ilvl w:val="0"/>
          <w:numId w:val="0"/>
        </w:numPr>
        <w:shd w:val="clear"/>
        <w:kinsoku/>
        <w:wordWrap/>
        <w:overflowPunct/>
        <w:topLinePunct w:val="0"/>
        <w:autoSpaceDE w:val="0"/>
        <w:autoSpaceDN/>
        <w:bidi w:val="0"/>
        <w:adjustRightInd/>
        <w:spacing w:beforeAutospacing="0" w:afterAutospacing="0" w:line="560" w:lineRule="exact"/>
        <w:ind w:firstLine="640" w:firstLineChars="200"/>
        <w:textAlignment w:val="auto"/>
        <w:rPr>
          <w:rFonts w:hint="default" w:ascii="Times New Roman" w:hAnsi="Times New Roman" w:eastAsia="方正仿宋_GBK" w:cs="Times New Roman"/>
          <w:b w:val="0"/>
          <w:bCs/>
          <w:sz w:val="32"/>
          <w:szCs w:val="32"/>
          <w:shd w:val="clear" w:color="auto" w:fill="FFFFFF"/>
          <w:lang w:eastAsia="zh-CN"/>
        </w:rPr>
      </w:pPr>
      <w:r>
        <w:rPr>
          <w:rFonts w:hint="default" w:ascii="Times New Roman" w:hAnsi="Times New Roman" w:eastAsia="方正仿宋_GBK" w:cs="Times New Roman"/>
          <w:b w:val="0"/>
          <w:bCs/>
          <w:sz w:val="32"/>
          <w:szCs w:val="32"/>
          <w:shd w:val="clear" w:color="auto" w:fill="FFFFFF"/>
          <w:lang w:eastAsia="zh-CN"/>
        </w:rPr>
        <w:t>本部门202</w:t>
      </w:r>
      <w:r>
        <w:rPr>
          <w:rFonts w:hint="default" w:ascii="Times New Roman" w:hAnsi="Times New Roman" w:eastAsia="方正仿宋_GBK" w:cs="Times New Roman"/>
          <w:b w:val="0"/>
          <w:bCs/>
          <w:sz w:val="32"/>
          <w:szCs w:val="32"/>
          <w:shd w:val="clear" w:color="auto" w:fill="FFFFFF"/>
          <w:lang w:val="en-US" w:eastAsia="zh-CN"/>
        </w:rPr>
        <w:t>4</w:t>
      </w:r>
      <w:r>
        <w:rPr>
          <w:rFonts w:hint="default" w:ascii="Times New Roman" w:hAnsi="Times New Roman" w:eastAsia="方正仿宋_GBK" w:cs="Times New Roman"/>
          <w:b w:val="0"/>
          <w:bCs/>
          <w:sz w:val="32"/>
          <w:szCs w:val="32"/>
          <w:shd w:val="clear" w:color="auto" w:fill="FFFFFF"/>
          <w:lang w:eastAsia="zh-CN"/>
        </w:rPr>
        <w:t>年度无国有资本经营预算财政拨款支出。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三、“三公”经费情况说明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（一）“三公”经费支出总体情况说明</w:t>
      </w:r>
      <w:bookmarkStart w:id="0" w:name="_GoBack"/>
      <w:bookmarkEnd w:id="0"/>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度“三公”经费支出共计</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万元，较年初预算数无增减</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较上年支出数无增减，主要原因是</w:t>
      </w:r>
      <w:r>
        <w:rPr>
          <w:rFonts w:hint="default" w:ascii="Times New Roman" w:hAnsi="Times New Roman" w:eastAsia="方正仿宋_GBK" w:cs="Times New Roman"/>
          <w:color w:val="000000" w:themeColor="text1"/>
          <w:sz w:val="32"/>
          <w:szCs w:val="32"/>
          <w14:textFill>
            <w14:solidFill>
              <w14:schemeClr w14:val="tx1"/>
            </w14:solidFill>
          </w14:textFill>
        </w:rPr>
        <w:t>“三公”</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经费在信访办（本级）核算，本中心无支出。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（二）“三公”经费分项支出情况</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度本部门因公出国（境）费用</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主要是</w:t>
      </w:r>
      <w:r>
        <w:rPr>
          <w:rFonts w:hint="default" w:ascii="Times New Roman" w:hAnsi="Times New Roman" w:eastAsia="方正仿宋_GBK" w:cs="Times New Roman"/>
          <w:sz w:val="32"/>
          <w:szCs w:val="32"/>
          <w:shd w:val="clear" w:color="auto" w:fill="FFFFFF"/>
          <w:lang w:val="en-US" w:eastAsia="zh-CN"/>
        </w:rPr>
        <w:t>2024年度我单位未发生因公出国（境）费用。</w:t>
      </w:r>
      <w:r>
        <w:rPr>
          <w:rFonts w:hint="default" w:ascii="Times New Roman" w:hAnsi="Times New Roman" w:eastAsia="方正仿宋_GBK" w:cs="Times New Roman"/>
          <w:sz w:val="32"/>
          <w:szCs w:val="32"/>
          <w:shd w:val="clear" w:color="auto" w:fill="FFFFFF"/>
        </w:rPr>
        <w:t>费用支出较年初预算数无增减，与2023年度相比，无增减，主要原因是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sz w:val="32"/>
          <w:szCs w:val="32"/>
          <w:shd w:val="clear" w:color="auto" w:fill="FFFFFF"/>
        </w:rPr>
        <w:t>公务车购置费</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主要</w:t>
      </w:r>
      <w:r>
        <w:rPr>
          <w:rFonts w:hint="default" w:ascii="Times New Roman" w:hAnsi="Times New Roman" w:eastAsia="方正仿宋_GBK" w:cs="Times New Roman"/>
          <w:sz w:val="32"/>
          <w:szCs w:val="32"/>
          <w:shd w:val="clear" w:color="auto" w:fill="FFFFFF"/>
          <w:lang w:eastAsia="zh-CN"/>
        </w:rPr>
        <w:t>是</w:t>
      </w:r>
      <w:r>
        <w:rPr>
          <w:rFonts w:hint="default" w:ascii="Times New Roman" w:hAnsi="Times New Roman" w:eastAsia="方正仿宋_GBK" w:cs="Times New Roman"/>
          <w:sz w:val="32"/>
          <w:szCs w:val="32"/>
          <w:shd w:val="clear" w:color="auto" w:fill="FFFFFF"/>
          <w:lang w:val="en-US" w:eastAsia="zh-CN"/>
        </w:rPr>
        <w:t>2024年度我单位未发生公务用车购置费用。</w:t>
      </w:r>
      <w:r>
        <w:rPr>
          <w:rFonts w:hint="default" w:ascii="Times New Roman" w:hAnsi="Times New Roman" w:eastAsia="方正仿宋_GBK" w:cs="Times New Roman"/>
          <w:sz w:val="32"/>
          <w:szCs w:val="32"/>
          <w:shd w:val="clear" w:color="auto" w:fill="FFFFFF"/>
        </w:rPr>
        <w:t>费用支出较年初预算数无增减，与2023年度相比，无增减，主要原因是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公务车运行维护费</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万元，费用支出较年初预算数无增减，与2023年度相比，无增减，主要原因是</w:t>
      </w:r>
      <w:r>
        <w:rPr>
          <w:rFonts w:hint="default" w:ascii="Times New Roman" w:hAnsi="Times New Roman" w:eastAsia="方正仿宋_GBK" w:cs="Times New Roman"/>
          <w:sz w:val="32"/>
          <w:szCs w:val="32"/>
          <w:shd w:val="clear" w:color="auto" w:fill="FFFFFF"/>
          <w:lang w:eastAsia="zh-CN"/>
        </w:rPr>
        <w:t>公务用车维修维护费</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在信访办（本级）核算，本中心无支出。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公务接待费</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万元，费用支出较年初预算数无增减，较上年支出数无增减，主要原因是</w:t>
      </w:r>
      <w:r>
        <w:rPr>
          <w:rFonts w:hint="default" w:ascii="Times New Roman" w:hAnsi="Times New Roman" w:eastAsia="方正仿宋_GBK" w:cs="Times New Roman"/>
          <w:sz w:val="32"/>
          <w:szCs w:val="32"/>
          <w:shd w:val="clear" w:color="auto" w:fill="FFFFFF"/>
          <w:lang w:eastAsia="zh-CN"/>
        </w:rPr>
        <w:t>公务接待费在信访办（本级）核算，本中心无支出。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（三）“三公”经费实物量情况</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度本部门因公出国（境）共计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个团组，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人；公务用车购置</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辆，公务车保有量为</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辆；国内公务接待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人，其中：国内外事接待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人；国（境）外公务接待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本部门人均接待费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元，车均购置费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万元，车均维护费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四、其他需要说明的事项</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（一）财政拨款会议费和培训费情况说明</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本年度会议费支出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万元，与2023年度相比，无增减，主要原因是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黔江区群众诉求服务中心为2024年度新增独立核算单位，会议费在信访办（本级）核算，本中心无支出。</w:t>
      </w:r>
      <w:r>
        <w:rPr>
          <w:rFonts w:hint="default" w:ascii="Times New Roman" w:hAnsi="Times New Roman" w:eastAsia="方正仿宋_GBK" w:cs="Times New Roman"/>
          <w:sz w:val="32"/>
          <w:szCs w:val="32"/>
          <w:shd w:val="clear" w:color="auto" w:fill="FFFFFF"/>
        </w:rPr>
        <w:t>本年度培训费支出</w:t>
      </w:r>
      <w:r>
        <w:rPr>
          <w:rFonts w:hint="default" w:ascii="Times New Roman" w:hAnsi="Times New Roman" w:eastAsia="方正仿宋_GBK" w:cs="Times New Roman"/>
          <w:sz w:val="32"/>
          <w:szCs w:val="32"/>
        </w:rPr>
        <w:t>0.72</w:t>
      </w:r>
      <w:r>
        <w:rPr>
          <w:rFonts w:hint="default" w:ascii="Times New Roman" w:hAnsi="Times New Roman" w:eastAsia="方正仿宋_GBK" w:cs="Times New Roman"/>
          <w:sz w:val="32"/>
          <w:szCs w:val="32"/>
          <w:shd w:val="clear" w:color="auto" w:fill="FFFFFF"/>
        </w:rPr>
        <w:t>万元，与2023年度相比，增加0.72万元，增长100.0%，主要原因是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（二）机关运行经费情况说明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度本部门机关运行经费支出</w:t>
      </w:r>
      <w:r>
        <w:rPr>
          <w:rFonts w:hint="default" w:ascii="Times New Roman" w:hAnsi="Times New Roman" w:eastAsia="方正仿宋_GBK" w:cs="Times New Roman"/>
          <w:sz w:val="32"/>
          <w:szCs w:val="32"/>
        </w:rPr>
        <w:t>0.98</w:t>
      </w:r>
      <w:r>
        <w:rPr>
          <w:rFonts w:hint="default" w:ascii="Times New Roman" w:hAnsi="Times New Roman" w:eastAsia="方正仿宋_GBK" w:cs="Times New Roman"/>
          <w:sz w:val="32"/>
          <w:szCs w:val="32"/>
          <w:shd w:val="clear" w:color="auto" w:fill="FFFFFF"/>
        </w:rPr>
        <w:t>万元，机关运行经费主要用于开支</w:t>
      </w:r>
      <w:r>
        <w:rPr>
          <w:rFonts w:hint="default" w:ascii="Times New Roman" w:hAnsi="Times New Roman" w:eastAsia="方正仿宋_GBK" w:cs="Times New Roman"/>
          <w:sz w:val="32"/>
          <w:szCs w:val="32"/>
          <w:shd w:val="clear" w:color="auto" w:fill="FFFFFF"/>
          <w:lang w:eastAsia="zh-CN"/>
        </w:rPr>
        <w:t>办公费、电费、邮电费、差旅费、培训费。</w:t>
      </w:r>
      <w:r>
        <w:rPr>
          <w:rFonts w:hint="default" w:ascii="Times New Roman" w:hAnsi="Times New Roman" w:eastAsia="方正仿宋_GBK" w:cs="Times New Roman"/>
          <w:sz w:val="32"/>
          <w:szCs w:val="32"/>
          <w:shd w:val="clear" w:color="auto" w:fill="FFFFFF"/>
        </w:rPr>
        <w:t>机关运行经费较上年支出数</w:t>
      </w:r>
      <w:r>
        <w:rPr>
          <w:rFonts w:hint="default" w:ascii="Times New Roman" w:hAnsi="Times New Roman" w:eastAsia="方正仿宋_GBK" w:cs="Times New Roman"/>
          <w:sz w:val="32"/>
          <w:szCs w:val="32"/>
          <w:shd w:val="clear" w:color="auto" w:fill="FFFFFF"/>
          <w:lang w:eastAsia="zh-CN"/>
        </w:rPr>
        <w:t>增加</w:t>
      </w:r>
      <w:r>
        <w:rPr>
          <w:rFonts w:hint="default" w:ascii="Times New Roman" w:hAnsi="Times New Roman" w:eastAsia="方正仿宋_GBK" w:cs="Times New Roman"/>
          <w:sz w:val="32"/>
          <w:szCs w:val="32"/>
          <w:shd w:val="clear" w:color="auto" w:fill="FFFFFF"/>
          <w:lang w:val="en-US" w:eastAsia="zh-CN"/>
        </w:rPr>
        <w:t>0.98</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增长</w:t>
      </w:r>
      <w:r>
        <w:rPr>
          <w:rFonts w:hint="default" w:ascii="Times New Roman" w:hAnsi="Times New Roman" w:eastAsia="方正仿宋_GBK" w:cs="Times New Roman"/>
          <w:sz w:val="32"/>
          <w:szCs w:val="32"/>
          <w:shd w:val="clear" w:color="auto" w:fill="FFFFFF"/>
          <w:lang w:val="en-US" w:eastAsia="zh-CN"/>
        </w:rPr>
        <w:t>100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黔江区群众诉求服务中心为2024年度新增独立核算单位</w:t>
      </w:r>
      <w:r>
        <w:rPr>
          <w:rFonts w:hint="default" w:ascii="Times New Roman" w:hAnsi="Times New Roman" w:eastAsia="方正仿宋_GBK" w:cs="Times New Roman"/>
          <w:color w:val="000000" w:themeColor="text1"/>
          <w:sz w:val="32"/>
          <w:szCs w:val="32"/>
          <w14:textFill>
            <w14:solidFill>
              <w14:schemeClr w14:val="tx1"/>
            </w14:solidFill>
          </w14:textFill>
        </w:rPr>
        <w:t>。</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（三）国有资产占用情况说明</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截至</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12月31日，本部门共有车辆</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辆，其中，副部（省）级及以上领导用车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辆、主要负责人用车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辆、机要通信用车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辆、应急保障用车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辆、执法执勤用车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辆，特种专业技术用车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辆，离退休干部用车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辆。单价100万元（含）以上专用设备</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台（套）。</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（四）政府采购支出情况说明</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val="0"/>
          <w:color w:val="FF0000"/>
          <w:sz w:val="32"/>
          <w:szCs w:val="32"/>
          <w:shd w:val="clear" w:color="auto" w:fill="FFFFFF"/>
        </w:rPr>
      </w:pPr>
      <w:r>
        <w:rPr>
          <w:rFonts w:hint="default" w:ascii="Times New Roman" w:hAnsi="Times New Roman" w:eastAsia="方正仿宋_GBK" w:cs="Times New Roman"/>
          <w:b w:val="0"/>
          <w:bCs w:val="0"/>
          <w:sz w:val="32"/>
          <w:szCs w:val="32"/>
          <w:shd w:val="clear" w:color="auto" w:fill="FFFFFF"/>
        </w:rPr>
        <w:t>202</w:t>
      </w:r>
      <w:r>
        <w:rPr>
          <w:rFonts w:hint="default" w:ascii="Times New Roman" w:hAnsi="Times New Roman" w:eastAsia="方正仿宋_GBK" w:cs="Times New Roman"/>
          <w:b w:val="0"/>
          <w:bCs w:val="0"/>
          <w:sz w:val="32"/>
          <w:szCs w:val="32"/>
          <w:shd w:val="clear" w:color="auto" w:fill="FFFFFF"/>
          <w:lang w:val="en-US" w:eastAsia="zh-CN"/>
        </w:rPr>
        <w:t>4</w:t>
      </w:r>
      <w:r>
        <w:rPr>
          <w:rFonts w:hint="default" w:ascii="Times New Roman" w:hAnsi="Times New Roman" w:eastAsia="方正仿宋_GBK" w:cs="Times New Roman"/>
          <w:b w:val="0"/>
          <w:bCs w:val="0"/>
          <w:sz w:val="32"/>
          <w:szCs w:val="32"/>
          <w:shd w:val="clear" w:color="auto" w:fill="FFFFFF"/>
        </w:rPr>
        <w:t>年度我单位未发生政府采购事项，无相关经费支出。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eastAsia" w:ascii="Times New Roman" w:hAnsi="Times New Roman" w:eastAsia="方正黑体_GBK" w:cs="Times New Roman"/>
          <w:b w:val="0"/>
          <w:bCs/>
          <w:sz w:val="32"/>
          <w:szCs w:val="32"/>
          <w:shd w:val="clear" w:color="auto" w:fill="FFFFFF"/>
          <w:lang w:val="en-US" w:eastAsia="zh-CN"/>
        </w:rPr>
        <w:t>五、</w:t>
      </w:r>
      <w:r>
        <w:rPr>
          <w:rStyle w:val="10"/>
          <w:rFonts w:hint="default" w:ascii="Times New Roman" w:hAnsi="Times New Roman" w:eastAsia="方正黑体_GBK" w:cs="Times New Roman"/>
          <w:b w:val="0"/>
          <w:bCs/>
          <w:sz w:val="32"/>
          <w:szCs w:val="32"/>
          <w:shd w:val="clear" w:color="auto" w:fill="FFFFFF"/>
        </w:rPr>
        <w:t>预算绩效管理情况说明</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预算绩效自评在主管部门开展，本部门不涉及。</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lang w:val="en-US" w:eastAsia="zh-CN"/>
        </w:rPr>
      </w:pPr>
      <w:r>
        <w:rPr>
          <w:rStyle w:val="10"/>
          <w:rFonts w:hint="default" w:ascii="Times New Roman" w:hAnsi="Times New Roman" w:eastAsia="方正黑体_GBK" w:cs="Times New Roman"/>
          <w:b w:val="0"/>
          <w:bCs/>
          <w:sz w:val="32"/>
          <w:szCs w:val="32"/>
          <w:shd w:val="clear" w:color="auto" w:fill="FFFFFF"/>
          <w:lang w:val="en-US" w:eastAsia="zh-CN"/>
        </w:rPr>
        <w:t>六、专业名词解释</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以下为常见专业名词解释目录，仅供参考，</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lang w:val="en-US" w:eastAsia="zh-CN"/>
        </w:rPr>
        <w:t>（一）财政拨款收入：</w:t>
      </w:r>
      <w:r>
        <w:rPr>
          <w:rFonts w:hint="default" w:ascii="Times New Roman" w:hAnsi="Times New Roman" w:eastAsia="方正仿宋_GBK" w:cs="Times New Roman"/>
          <w:sz w:val="32"/>
          <w:szCs w:val="32"/>
          <w:shd w:val="clear" w:color="auto" w:fill="FFFFFF"/>
        </w:rPr>
        <w:t>指本年度从本级财政部门取得的财政拨款，包括一般公共预算财政拨款和政府性基金预算财政拨款。</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（二）事业收入：</w:t>
      </w:r>
      <w:r>
        <w:rPr>
          <w:rFonts w:hint="default" w:ascii="Times New Roman" w:hAnsi="Times New Roman" w:eastAsia="方正仿宋_GBK" w:cs="Times New Roman"/>
          <w:sz w:val="32"/>
          <w:szCs w:val="32"/>
          <w:shd w:val="clear" w:color="auto" w:fill="FFFFFF"/>
        </w:rPr>
        <w:t>指事业单位开展专业业务活动及其辅助活动取得的现金流入；事业单位收到的财政专户实际核拨的教育收费等资金在此反映。</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三</w:t>
      </w:r>
      <w:r>
        <w:rPr>
          <w:rStyle w:val="10"/>
          <w:rFonts w:hint="default" w:ascii="Times New Roman" w:hAnsi="Times New Roman" w:eastAsia="方正楷体_GBK" w:cs="Times New Roman"/>
          <w:b w:val="0"/>
          <w:bCs/>
          <w:sz w:val="32"/>
          <w:szCs w:val="32"/>
          <w:shd w:val="clear" w:color="auto" w:fill="FFFFFF"/>
        </w:rPr>
        <w:t>）其他收入：</w:t>
      </w:r>
      <w:r>
        <w:rPr>
          <w:rFonts w:hint="default" w:ascii="Times New Roman" w:hAnsi="Times New Roman" w:eastAsia="方正仿宋_GBK" w:cs="Times New Roman"/>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四</w:t>
      </w:r>
      <w:r>
        <w:rPr>
          <w:rStyle w:val="10"/>
          <w:rFonts w:hint="default" w:ascii="Times New Roman" w:hAnsi="Times New Roman" w:eastAsia="方正楷体_GBK" w:cs="Times New Roman"/>
          <w:b w:val="0"/>
          <w:bCs/>
          <w:sz w:val="32"/>
          <w:szCs w:val="32"/>
          <w:shd w:val="clear" w:color="auto" w:fill="FFFFFF"/>
        </w:rPr>
        <w:t>）年初结转和结余：</w:t>
      </w:r>
      <w:r>
        <w:rPr>
          <w:rFonts w:hint="default" w:ascii="Times New Roman" w:hAnsi="Times New Roman" w:eastAsia="方正仿宋_GBK" w:cs="Times New Roman"/>
          <w:sz w:val="32"/>
          <w:szCs w:val="32"/>
          <w:shd w:val="clear" w:color="auto" w:fill="FFFFFF"/>
        </w:rPr>
        <w:t>指单位上年结转本年使用的基本支出结转、项目支出结转和结余、经营结余。</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五</w:t>
      </w:r>
      <w:r>
        <w:rPr>
          <w:rStyle w:val="10"/>
          <w:rFonts w:hint="default" w:ascii="Times New Roman" w:hAnsi="Times New Roman" w:eastAsia="方正楷体_GBK" w:cs="Times New Roman"/>
          <w:b w:val="0"/>
          <w:bCs/>
          <w:sz w:val="32"/>
          <w:szCs w:val="32"/>
          <w:shd w:val="clear" w:color="auto" w:fill="FFFFFF"/>
        </w:rPr>
        <w:t>）结余分配：</w:t>
      </w:r>
      <w:r>
        <w:rPr>
          <w:rFonts w:hint="default" w:ascii="Times New Roman" w:hAnsi="Times New Roman" w:eastAsia="方正仿宋_GBK" w:cs="Times New Roman"/>
          <w:sz w:val="32"/>
          <w:szCs w:val="32"/>
          <w:shd w:val="clear" w:color="auto" w:fill="FFFFFF"/>
        </w:rPr>
        <w:t>指单位按照国家有关规定，缴纳所得税、提取专用基金、转入非财政拨款结余等当年结余的分配情况。</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六</w:t>
      </w:r>
      <w:r>
        <w:rPr>
          <w:rStyle w:val="10"/>
          <w:rFonts w:hint="default" w:ascii="Times New Roman" w:hAnsi="Times New Roman" w:eastAsia="方正楷体_GBK" w:cs="Times New Roman"/>
          <w:b w:val="0"/>
          <w:bCs/>
          <w:sz w:val="32"/>
          <w:szCs w:val="32"/>
          <w:shd w:val="clear" w:color="auto" w:fill="FFFFFF"/>
        </w:rPr>
        <w:t>）年末结转和结余：</w:t>
      </w:r>
      <w:r>
        <w:rPr>
          <w:rFonts w:hint="default" w:ascii="Times New Roman" w:hAnsi="Times New Roman" w:eastAsia="方正仿宋_GBK" w:cs="Times New Roman"/>
          <w:sz w:val="32"/>
          <w:szCs w:val="32"/>
          <w:shd w:val="clear" w:color="auto" w:fill="FFFFFF"/>
        </w:rPr>
        <w:t>指单位结转下年的基本支出结转、项目支出结转和结余、经营结余。</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七</w:t>
      </w:r>
      <w:r>
        <w:rPr>
          <w:rStyle w:val="10"/>
          <w:rFonts w:hint="default" w:ascii="Times New Roman" w:hAnsi="Times New Roman" w:eastAsia="方正楷体_GBK" w:cs="Times New Roman"/>
          <w:b w:val="0"/>
          <w:bCs/>
          <w:sz w:val="32"/>
          <w:szCs w:val="32"/>
          <w:shd w:val="clear" w:color="auto" w:fill="FFFFFF"/>
        </w:rPr>
        <w:t>）基本支出：</w:t>
      </w:r>
      <w:r>
        <w:rPr>
          <w:rFonts w:hint="default" w:ascii="Times New Roman" w:hAnsi="Times New Roman" w:eastAsia="方正仿宋_GBK" w:cs="Times New Roman"/>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八</w:t>
      </w:r>
      <w:r>
        <w:rPr>
          <w:rStyle w:val="10"/>
          <w:rFonts w:hint="default" w:ascii="Times New Roman" w:hAnsi="Times New Roman" w:eastAsia="方正楷体_GBK" w:cs="Times New Roman"/>
          <w:b w:val="0"/>
          <w:bCs/>
          <w:sz w:val="32"/>
          <w:szCs w:val="32"/>
          <w:shd w:val="clear" w:color="auto" w:fill="FFFFFF"/>
        </w:rPr>
        <w:t>）项目支出：</w:t>
      </w:r>
      <w:r>
        <w:rPr>
          <w:rFonts w:hint="default" w:ascii="Times New Roman" w:hAnsi="Times New Roman" w:eastAsia="方正仿宋_GBK" w:cs="Times New Roman"/>
          <w:sz w:val="32"/>
          <w:szCs w:val="32"/>
          <w:shd w:val="clear" w:color="auto" w:fill="FFFFFF"/>
        </w:rPr>
        <w:t>指在基本支出之外为完成特定行政任务和事业发展目标所发生的支出。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九</w:t>
      </w:r>
      <w:r>
        <w:rPr>
          <w:rStyle w:val="10"/>
          <w:rFonts w:hint="default" w:ascii="Times New Roman" w:hAnsi="Times New Roman" w:eastAsia="方正楷体_GBK" w:cs="Times New Roman"/>
          <w:b w:val="0"/>
          <w:bCs/>
          <w:sz w:val="32"/>
          <w:szCs w:val="32"/>
          <w:shd w:val="clear" w:color="auto" w:fill="FFFFFF"/>
        </w:rPr>
        <w:t>）“三公”经费：</w:t>
      </w:r>
      <w:r>
        <w:rPr>
          <w:rFonts w:hint="default" w:ascii="Times New Roman" w:hAnsi="Times New Roman" w:eastAsia="方正仿宋_GBK" w:cs="Times New Roman"/>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（十）机关运行经费：</w:t>
      </w:r>
      <w:r>
        <w:rPr>
          <w:rFonts w:hint="default" w:ascii="Times New Roman" w:hAnsi="Times New Roman" w:eastAsia="方正仿宋_GBK" w:cs="Times New Roman"/>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w:t>
      </w:r>
      <w:r>
        <w:rPr>
          <w:rStyle w:val="10"/>
          <w:rFonts w:hint="default" w:ascii="Times New Roman" w:hAnsi="Times New Roman" w:eastAsia="方正楷体_GBK" w:cs="Times New Roman"/>
          <w:b w:val="0"/>
          <w:bCs/>
          <w:sz w:val="32"/>
          <w:szCs w:val="32"/>
          <w:shd w:val="clear" w:color="auto" w:fill="FFFFFF"/>
          <w:lang w:eastAsia="zh-CN"/>
        </w:rPr>
        <w:t>一</w:t>
      </w:r>
      <w:r>
        <w:rPr>
          <w:rStyle w:val="10"/>
          <w:rFonts w:hint="default" w:ascii="Times New Roman" w:hAnsi="Times New Roman" w:eastAsia="方正楷体_GBK" w:cs="Times New Roman"/>
          <w:b w:val="0"/>
          <w:bCs/>
          <w:sz w:val="32"/>
          <w:szCs w:val="32"/>
          <w:shd w:val="clear" w:color="auto" w:fill="FFFFFF"/>
        </w:rPr>
        <w:t>）工资福利支出（支出经济分类科目类级）：</w:t>
      </w:r>
      <w:r>
        <w:rPr>
          <w:rFonts w:hint="default" w:ascii="Times New Roman" w:hAnsi="Times New Roman" w:eastAsia="方正仿宋_GBK" w:cs="Times New Roman"/>
          <w:sz w:val="32"/>
          <w:szCs w:val="32"/>
          <w:shd w:val="clear" w:color="auto" w:fill="FFFFFF"/>
        </w:rPr>
        <w:t>反映单位开支的在职职工和编制外长期聘用人员的各类劳动报酬，以及为上述人员缴纳的各项社会保险费等。</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w:t>
      </w:r>
      <w:r>
        <w:rPr>
          <w:rStyle w:val="10"/>
          <w:rFonts w:hint="default" w:ascii="Times New Roman" w:hAnsi="Times New Roman" w:eastAsia="方正楷体_GBK" w:cs="Times New Roman"/>
          <w:b w:val="0"/>
          <w:bCs/>
          <w:sz w:val="32"/>
          <w:szCs w:val="32"/>
          <w:shd w:val="clear" w:color="auto" w:fill="FFFFFF"/>
          <w:lang w:eastAsia="zh-CN"/>
        </w:rPr>
        <w:t>二</w:t>
      </w:r>
      <w:r>
        <w:rPr>
          <w:rStyle w:val="10"/>
          <w:rFonts w:hint="default" w:ascii="Times New Roman" w:hAnsi="Times New Roman" w:eastAsia="方正楷体_GBK" w:cs="Times New Roman"/>
          <w:b w:val="0"/>
          <w:bCs/>
          <w:sz w:val="32"/>
          <w:szCs w:val="32"/>
          <w:shd w:val="clear" w:color="auto" w:fill="FFFFFF"/>
        </w:rPr>
        <w:t>）商品和服务支出（支出经济分类科目类级）：</w:t>
      </w:r>
      <w:r>
        <w:rPr>
          <w:rFonts w:hint="default" w:ascii="Times New Roman" w:hAnsi="Times New Roman" w:eastAsia="方正仿宋_GBK" w:cs="Times New Roman"/>
          <w:sz w:val="32"/>
          <w:szCs w:val="32"/>
          <w:shd w:val="clear" w:color="auto" w:fill="FFFFFF"/>
        </w:rPr>
        <w:t>反映单位购买商品和服务的支出（不包括用于购置固定资产的支出、战略性和应急储备支出）。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w:t>
      </w:r>
      <w:r>
        <w:rPr>
          <w:rStyle w:val="10"/>
          <w:rFonts w:hint="default" w:ascii="Times New Roman" w:hAnsi="Times New Roman" w:eastAsia="方正楷体_GBK" w:cs="Times New Roman"/>
          <w:b w:val="0"/>
          <w:bCs/>
          <w:sz w:val="32"/>
          <w:szCs w:val="32"/>
          <w:shd w:val="clear" w:color="auto" w:fill="FFFFFF"/>
          <w:lang w:eastAsia="zh-CN"/>
        </w:rPr>
        <w:t>三</w:t>
      </w:r>
      <w:r>
        <w:rPr>
          <w:rStyle w:val="10"/>
          <w:rFonts w:hint="default" w:ascii="Times New Roman" w:hAnsi="Times New Roman" w:eastAsia="方正楷体_GBK" w:cs="Times New Roman"/>
          <w:b w:val="0"/>
          <w:bCs/>
          <w:sz w:val="32"/>
          <w:szCs w:val="32"/>
          <w:shd w:val="clear" w:color="auto" w:fill="FFFFFF"/>
        </w:rPr>
        <w:t>）对个人和家庭的补助（支出经济分类科目类级）：</w:t>
      </w:r>
      <w:r>
        <w:rPr>
          <w:rFonts w:hint="default" w:ascii="Times New Roman" w:hAnsi="Times New Roman" w:eastAsia="方正仿宋_GBK" w:cs="Times New Roman"/>
          <w:sz w:val="32"/>
          <w:szCs w:val="32"/>
          <w:shd w:val="clear" w:color="auto" w:fill="FFFFFF"/>
        </w:rPr>
        <w:t>反映用于对个人和家庭的补助支出。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w:t>
      </w:r>
      <w:r>
        <w:rPr>
          <w:rStyle w:val="10"/>
          <w:rFonts w:hint="default" w:ascii="Times New Roman" w:hAnsi="Times New Roman" w:eastAsia="方正楷体_GBK" w:cs="Times New Roman"/>
          <w:b w:val="0"/>
          <w:bCs/>
          <w:sz w:val="32"/>
          <w:szCs w:val="32"/>
          <w:shd w:val="clear" w:color="auto" w:fill="FFFFFF"/>
          <w:lang w:eastAsia="zh-CN"/>
        </w:rPr>
        <w:t>四</w:t>
      </w:r>
      <w:r>
        <w:rPr>
          <w:rStyle w:val="10"/>
          <w:rFonts w:hint="default" w:ascii="Times New Roman" w:hAnsi="Times New Roman" w:eastAsia="方正楷体_GBK" w:cs="Times New Roman"/>
          <w:b w:val="0"/>
          <w:bCs/>
          <w:sz w:val="32"/>
          <w:szCs w:val="32"/>
          <w:shd w:val="clear" w:color="auto" w:fill="FFFFFF"/>
        </w:rPr>
        <w:t>）其他资本性支出（支出经济分类科目类级）：</w:t>
      </w:r>
      <w:r>
        <w:rPr>
          <w:rFonts w:hint="default" w:ascii="Times New Roman" w:hAnsi="Times New Roman" w:eastAsia="方正仿宋_GBK" w:cs="Times New Roman"/>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lang w:val="en-US" w:eastAsia="zh-CN"/>
        </w:rPr>
      </w:pPr>
      <w:r>
        <w:rPr>
          <w:rStyle w:val="10"/>
          <w:rFonts w:hint="default" w:ascii="Times New Roman" w:hAnsi="Times New Roman" w:eastAsia="方正黑体_GBK" w:cs="Times New Roman"/>
          <w:b w:val="0"/>
          <w:bCs/>
          <w:sz w:val="32"/>
          <w:szCs w:val="32"/>
          <w:shd w:val="clear" w:color="auto" w:fill="FFFFFF"/>
          <w:lang w:val="en-US" w:eastAsia="zh-CN"/>
        </w:rPr>
        <w:t>七、决算公开联系方式及信息反馈渠道</w:t>
      </w:r>
    </w:p>
    <w:p>
      <w:pPr>
        <w:pStyle w:val="11"/>
        <w:keepNext w:val="0"/>
        <w:keepLines w:val="0"/>
        <w:pageBreakBefore w:val="0"/>
        <w:widowControl/>
        <w:shd w:val="clear"/>
        <w:kinsoku/>
        <w:wordWrap/>
        <w:overflowPunct/>
        <w:topLinePunct w:val="0"/>
        <w:autoSpaceDE w:val="0"/>
        <w:autoSpaceDN/>
        <w:bidi w:val="0"/>
        <w:adjustRightInd/>
        <w:spacing w:beforeAutospacing="0" w:afterAutospacing="0" w:line="560" w:lineRule="exact"/>
        <w:ind w:firstLine="640" w:firstLineChars="200"/>
        <w:textAlignment w:val="auto"/>
        <w:rPr>
          <w:rStyle w:val="10"/>
          <w:rFonts w:hint="default" w:ascii="Times New Roman" w:hAnsi="Times New Roman" w:eastAsia="方正仿宋_GBK" w:cs="Times New Roman"/>
          <w:sz w:val="32"/>
          <w:szCs w:val="32"/>
          <w:shd w:val="clear" w:color="auto" w:fill="FFFF00"/>
        </w:rPr>
      </w:pPr>
      <w:r>
        <w:rPr>
          <w:rFonts w:hint="default" w:ascii="Times New Roman" w:hAnsi="Times New Roman" w:eastAsia="方正仿宋_GBK" w:cs="Times New Roman"/>
          <w:sz w:val="32"/>
          <w:szCs w:val="32"/>
          <w:shd w:val="clear" w:color="auto" w:fill="FFFFFF"/>
        </w:rPr>
        <w:t>本单位决算公开信息反馈和联系方式：</w:t>
      </w:r>
      <w:r>
        <w:rPr>
          <w:rFonts w:hint="default" w:ascii="Times New Roman" w:hAnsi="Times New Roman" w:eastAsia="方正仿宋_GBK" w:cs="Times New Roman"/>
          <w:sz w:val="32"/>
          <w:szCs w:val="32"/>
          <w:shd w:val="clear" w:color="auto" w:fill="FFFFFF"/>
          <w:lang w:val="en-US" w:eastAsia="zh-CN"/>
        </w:rPr>
        <w:t>023-79225719</w:t>
      </w:r>
    </w:p>
    <w:p>
      <w:pPr>
        <w:pStyle w:val="11"/>
        <w:autoSpaceDE w:val="0"/>
        <w:ind w:firstLine="0" w:firstLineChars="0"/>
        <w:rPr>
          <w:rStyle w:val="10"/>
          <w:rFonts w:hint="default" w:ascii="Times New Roman" w:hAnsi="Times New Roman" w:eastAsia="方正仿宋_GBK" w:cs="Times New Roman"/>
          <w:sz w:val="32"/>
          <w:szCs w:val="32"/>
          <w:shd w:val="clear" w:color="auto" w:fill="FFFF00"/>
        </w:rPr>
      </w:pPr>
    </w:p>
    <w:p>
      <w:pPr>
        <w:pStyle w:val="11"/>
        <w:autoSpaceDE w:val="0"/>
        <w:ind w:firstLine="0" w:firstLineChars="0"/>
        <w:rPr>
          <w:rStyle w:val="10"/>
          <w:rFonts w:hint="default" w:ascii="Times New Roman" w:hAnsi="Times New Roman" w:eastAsia="方正仿宋_GBK" w:cs="Times New Roman"/>
          <w:sz w:val="32"/>
          <w:szCs w:val="32"/>
          <w:shd w:val="clear" w:color="auto" w:fill="FFFF00"/>
        </w:rPr>
        <w:sectPr>
          <w:footerReference r:id="rId3" w:type="default"/>
          <w:pgSz w:w="11915" w:h="16840"/>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rPr>
          <w:rFonts w:hint="default" w:ascii="Times New Roman" w:hAnsi="Times New Roman" w:eastAsia="宋体" w:cs="Times New Roman"/>
          <w:sz w:val="21"/>
          <w:szCs w:val="21"/>
        </w:rPr>
      </w:pPr>
    </w:p>
    <w:tbl>
      <w:tblPr>
        <w:tblStyle w:val="7"/>
        <w:tblW w:w="20115" w:type="dxa"/>
        <w:tblInd w:w="1020" w:type="dxa"/>
        <w:shd w:val="clear" w:color="auto" w:fill="auto"/>
        <w:tblLayout w:type="fixed"/>
        <w:tblCellMar>
          <w:top w:w="0" w:type="dxa"/>
          <w:left w:w="0" w:type="dxa"/>
          <w:bottom w:w="0" w:type="dxa"/>
          <w:right w:w="0" w:type="dxa"/>
        </w:tblCellMar>
      </w:tblPr>
      <w:tblGrid>
        <w:gridCol w:w="5561"/>
        <w:gridCol w:w="3394"/>
        <w:gridCol w:w="5955"/>
        <w:gridCol w:w="5205"/>
      </w:tblGrid>
      <w:tr>
        <w:tblPrEx>
          <w:shd w:val="clear" w:color="auto" w:fill="auto"/>
          <w:tblCellMar>
            <w:top w:w="0" w:type="dxa"/>
            <w:left w:w="0" w:type="dxa"/>
            <w:bottom w:w="0" w:type="dxa"/>
            <w:right w:w="0" w:type="dxa"/>
          </w:tblCellMar>
        </w:tblPrEx>
        <w:trPr>
          <w:trHeight w:val="565" w:hRule="atLeast"/>
        </w:trPr>
        <w:tc>
          <w:tcPr>
            <w:tcW w:w="20115" w:type="dxa"/>
            <w:gridSpan w:val="4"/>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收入支出决算总表</w:t>
            </w:r>
          </w:p>
        </w:tc>
      </w:tr>
      <w:tr>
        <w:tblPrEx>
          <w:shd w:val="clear" w:color="auto" w:fill="auto"/>
          <w:tblCellMar>
            <w:top w:w="0" w:type="dxa"/>
            <w:left w:w="0" w:type="dxa"/>
            <w:bottom w:w="0" w:type="dxa"/>
            <w:right w:w="0" w:type="dxa"/>
          </w:tblCellMar>
        </w:tblPrEx>
        <w:trPr>
          <w:trHeight w:val="289" w:hRule="atLeast"/>
        </w:trPr>
        <w:tc>
          <w:tcPr>
            <w:tcW w:w="5561"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3394"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Times New Roman" w:hAnsi="Times New Roman" w:eastAsia="宋体" w:cs="Times New Roman"/>
                <w:i w:val="0"/>
                <w:color w:val="000000"/>
                <w:sz w:val="20"/>
                <w:szCs w:val="20"/>
                <w:u w:val="none"/>
              </w:rPr>
            </w:pPr>
          </w:p>
        </w:tc>
        <w:tc>
          <w:tcPr>
            <w:tcW w:w="5955"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520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公开01表</w:t>
            </w:r>
          </w:p>
        </w:tc>
      </w:tr>
      <w:tr>
        <w:tblPrEx>
          <w:shd w:val="clear" w:color="auto" w:fill="auto"/>
          <w:tblCellMar>
            <w:top w:w="0" w:type="dxa"/>
            <w:left w:w="0" w:type="dxa"/>
            <w:bottom w:w="0" w:type="dxa"/>
            <w:right w:w="0" w:type="dxa"/>
          </w:tblCellMar>
        </w:tblPrEx>
        <w:trPr>
          <w:trHeight w:val="289" w:hRule="atLeast"/>
        </w:trPr>
        <w:tc>
          <w:tcPr>
            <w:tcW w:w="556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cs="Times New Roman"/>
                <w:sz w:val="24"/>
                <w:szCs w:val="24"/>
                <w:lang w:eastAsia="zh-CN"/>
              </w:rPr>
              <w:t>公开单位</w:t>
            </w:r>
            <w:r>
              <w:rPr>
                <w:rFonts w:hint="default" w:ascii="Times New Roman" w:hAnsi="Times New Roman" w:eastAsia="宋体" w:cs="Times New Roman"/>
                <w:sz w:val="24"/>
                <w:szCs w:val="24"/>
              </w:rPr>
              <w:t>：</w:t>
            </w:r>
            <w:r>
              <w:rPr>
                <w:rFonts w:hint="default" w:ascii="Times New Roman" w:hAnsi="Times New Roman" w:eastAsia="宋体" w:cs="Times New Roman"/>
                <w:sz w:val="24"/>
                <w:u w:color="auto"/>
              </w:rPr>
              <w:t>黔江区群众诉求服务中心</w:t>
            </w:r>
          </w:p>
        </w:tc>
        <w:tc>
          <w:tcPr>
            <w:tcW w:w="3394"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520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298" w:hRule="atLeast"/>
        </w:trPr>
        <w:tc>
          <w:tcPr>
            <w:tcW w:w="8955"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收入</w:t>
            </w:r>
          </w:p>
        </w:tc>
        <w:tc>
          <w:tcPr>
            <w:tcW w:w="11160"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支出</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339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决算数</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lang w:eastAsia="zh-CN"/>
              </w:rPr>
            </w:pPr>
            <w:r>
              <w:rPr>
                <w:rFonts w:hint="default" w:ascii="Times New Roman" w:hAnsi="Times New Roman" w:cs="Times New Roman"/>
                <w:b/>
                <w:i w:val="0"/>
                <w:color w:val="000000"/>
                <w:sz w:val="22"/>
                <w:szCs w:val="22"/>
                <w:u w:val="none"/>
                <w:lang w:eastAsia="zh-CN"/>
              </w:rPr>
              <w:t>功能分类科目</w:t>
            </w:r>
          </w:p>
        </w:tc>
        <w:tc>
          <w:tcPr>
            <w:tcW w:w="52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一、一般公共预算财政拨款收入</w:t>
            </w: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一、一般公共服务支出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95.40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二、政府性基金预算财政拨款收入</w:t>
            </w: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二、外交支出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三、国有资本经营预算财政拨款收入</w:t>
            </w: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三、国防支出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四、上级补助收入</w:t>
            </w: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四、公共安全支出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五、事业收入</w:t>
            </w: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五、教育支出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六、经营收入</w:t>
            </w: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六、科学技术支出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七、附属单位上缴收入</w:t>
            </w: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七、文化旅游体育与传媒支出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八、其他收入</w:t>
            </w:r>
          </w:p>
        </w:tc>
        <w:tc>
          <w:tcPr>
            <w:tcW w:w="3394" w:type="dxa"/>
            <w:tcBorders>
              <w:top w:val="nil"/>
              <w:left w:val="nil"/>
              <w:bottom w:val="nil"/>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八、社会保障和就业支出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16.90</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Times New Roman" w:hAnsi="Times New Roman" w:eastAsia="宋体" w:cs="Times New Roman"/>
                <w:i w:val="0"/>
                <w:color w:val="000000"/>
                <w:sz w:val="20"/>
                <w:szCs w:val="20"/>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九、卫生健康支出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6.25</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Times New Roman" w:hAnsi="Times New Roman" w:eastAsia="宋体" w:cs="Times New Roman"/>
                <w:i w:val="0"/>
                <w:color w:val="000000"/>
                <w:sz w:val="20"/>
                <w:szCs w:val="20"/>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十、节能环保支出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Times New Roman" w:hAnsi="Times New Roman" w:eastAsia="宋体" w:cs="Times New Roman"/>
                <w:i w:val="0"/>
                <w:color w:val="000000"/>
                <w:sz w:val="20"/>
                <w:szCs w:val="20"/>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十一、城乡社区支出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Times New Roman" w:hAnsi="Times New Roman" w:eastAsia="宋体" w:cs="Times New Roman"/>
                <w:i w:val="0"/>
                <w:color w:val="000000"/>
                <w:sz w:val="20"/>
                <w:szCs w:val="20"/>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十二、农林水支出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十三、交通运输支出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十四、资源勘探工业信息等支出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十五、商业服务业等支出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十六、金融支出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十七、援助其他地区支出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十八、自然资源海洋气象等支出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十九、住房保障支出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val="0"/>
                <w:bCs w:val="0"/>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5.77</w:t>
            </w: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二十、粮油物资储备支出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二十一、国有资本经营预算支出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二十二、灾害防治及应急管理支出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二十三、其他支出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二十四、债务还本支出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二十五、债务付息支出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二十六、抗疫特别国债安排的支出</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本年收入合计</w:t>
            </w: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本年支出合计</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使用非财政拨款结余和专用结余</w:t>
            </w: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结余分配</w:t>
            </w:r>
          </w:p>
        </w:tc>
        <w:tc>
          <w:tcPr>
            <w:tcW w:w="5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年初结转和结余</w:t>
            </w:r>
          </w:p>
        </w:tc>
        <w:tc>
          <w:tcPr>
            <w:tcW w:w="33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年末结转和结余</w:t>
            </w:r>
          </w:p>
        </w:tc>
        <w:tc>
          <w:tcPr>
            <w:tcW w:w="5205"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07" w:hRule="atLeast"/>
        </w:trPr>
        <w:tc>
          <w:tcPr>
            <w:tcW w:w="556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总计</w:t>
            </w:r>
          </w:p>
        </w:tc>
        <w:tc>
          <w:tcPr>
            <w:tcW w:w="33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c>
          <w:tcPr>
            <w:tcW w:w="5955"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总计</w:t>
            </w:r>
          </w:p>
        </w:tc>
        <w:tc>
          <w:tcPr>
            <w:tcW w:w="52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default" w:ascii="Times New Roman" w:hAnsi="Times New Roman" w:eastAsia="宋体" w:cs="Times New Roman"/>
                <w:i w:val="0"/>
                <w:color w:val="000000"/>
                <w:sz w:val="20"/>
                <w:szCs w:val="20"/>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r>
    </w:tbl>
    <w:p>
      <w:pP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page"/>
      </w:r>
    </w:p>
    <w:p>
      <w:pP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p>
    <w:tbl>
      <w:tblPr>
        <w:tblStyle w:val="7"/>
        <w:tblW w:w="20145" w:type="dxa"/>
        <w:tblInd w:w="1020" w:type="dxa"/>
        <w:shd w:val="clear" w:color="auto" w:fill="auto"/>
        <w:tblLayout w:type="fixed"/>
        <w:tblCellMar>
          <w:top w:w="0" w:type="dxa"/>
          <w:left w:w="0" w:type="dxa"/>
          <w:bottom w:w="0" w:type="dxa"/>
          <w:right w:w="0" w:type="dxa"/>
        </w:tblCellMar>
      </w:tblPr>
      <w:tblGrid>
        <w:gridCol w:w="992"/>
        <w:gridCol w:w="3675"/>
        <w:gridCol w:w="1983"/>
        <w:gridCol w:w="2399"/>
        <w:gridCol w:w="1963"/>
        <w:gridCol w:w="1963"/>
        <w:gridCol w:w="1963"/>
        <w:gridCol w:w="1963"/>
        <w:gridCol w:w="1963"/>
        <w:gridCol w:w="1281"/>
      </w:tblGrid>
      <w:tr>
        <w:tblPrEx>
          <w:shd w:val="clear" w:color="auto" w:fill="auto"/>
          <w:tblCellMar>
            <w:top w:w="0" w:type="dxa"/>
            <w:left w:w="0" w:type="dxa"/>
            <w:bottom w:w="0" w:type="dxa"/>
            <w:right w:w="0" w:type="dxa"/>
          </w:tblCellMar>
        </w:tblPrEx>
        <w:trPr>
          <w:trHeight w:val="641" w:hRule="atLeast"/>
        </w:trPr>
        <w:tc>
          <w:tcPr>
            <w:tcW w:w="20145" w:type="dxa"/>
            <w:gridSpan w:val="10"/>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收入决算表</w:t>
            </w:r>
          </w:p>
        </w:tc>
      </w:tr>
      <w:tr>
        <w:tblPrEx>
          <w:shd w:val="clear" w:color="auto" w:fill="auto"/>
          <w:tblCellMar>
            <w:top w:w="0" w:type="dxa"/>
            <w:left w:w="0" w:type="dxa"/>
            <w:bottom w:w="0" w:type="dxa"/>
            <w:right w:w="0" w:type="dxa"/>
          </w:tblCellMar>
        </w:tblPrEx>
        <w:trPr>
          <w:trHeight w:val="328" w:hRule="atLeast"/>
        </w:trPr>
        <w:tc>
          <w:tcPr>
            <w:tcW w:w="4667"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r>
              <w:rPr>
                <w:rFonts w:hint="default" w:ascii="Times New Roman" w:hAnsi="Times New Roman" w:cs="Times New Roman"/>
                <w:sz w:val="24"/>
                <w:szCs w:val="24"/>
                <w:lang w:eastAsia="zh-CN"/>
              </w:rPr>
              <w:t>公开单位</w:t>
            </w:r>
            <w:r>
              <w:rPr>
                <w:rFonts w:hint="default" w:ascii="Times New Roman" w:hAnsi="Times New Roman" w:eastAsia="宋体" w:cs="Times New Roman"/>
                <w:sz w:val="24"/>
                <w:szCs w:val="24"/>
              </w:rPr>
              <w:t>：</w:t>
            </w:r>
            <w:r>
              <w:rPr>
                <w:rFonts w:hint="default" w:ascii="Times New Roman" w:hAnsi="Times New Roman" w:eastAsia="宋体" w:cs="Times New Roman"/>
                <w:sz w:val="24"/>
                <w:u w:color="auto"/>
              </w:rPr>
              <w:t>黔江区群众诉求服务中心</w:t>
            </w:r>
          </w:p>
        </w:tc>
        <w:tc>
          <w:tcPr>
            <w:tcW w:w="198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28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公开02表</w:t>
            </w:r>
          </w:p>
        </w:tc>
      </w:tr>
      <w:tr>
        <w:tblPrEx>
          <w:shd w:val="clear" w:color="auto" w:fill="auto"/>
          <w:tblCellMar>
            <w:top w:w="0" w:type="dxa"/>
            <w:left w:w="0" w:type="dxa"/>
            <w:bottom w:w="0" w:type="dxa"/>
            <w:right w:w="0" w:type="dxa"/>
          </w:tblCellMar>
        </w:tblPrEx>
        <w:trPr>
          <w:trHeight w:val="328" w:hRule="atLeast"/>
        </w:trPr>
        <w:tc>
          <w:tcPr>
            <w:tcW w:w="4667"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98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28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431" w:hRule="atLeast"/>
        </w:trPr>
        <w:tc>
          <w:tcPr>
            <w:tcW w:w="4667"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198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附属单位上缴收入</w:t>
            </w:r>
          </w:p>
        </w:tc>
        <w:tc>
          <w:tcPr>
            <w:tcW w:w="1281"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其他收入</w:t>
            </w:r>
          </w:p>
        </w:tc>
      </w:tr>
      <w:tr>
        <w:tblPrEx>
          <w:shd w:val="clear" w:color="auto" w:fill="auto"/>
          <w:tblCellMar>
            <w:top w:w="0" w:type="dxa"/>
            <w:left w:w="0" w:type="dxa"/>
            <w:bottom w:w="0" w:type="dxa"/>
            <w:right w:w="0" w:type="dxa"/>
          </w:tblCellMar>
        </w:tblPrEx>
        <w:trPr>
          <w:trHeight w:val="334" w:hRule="atLeast"/>
        </w:trPr>
        <w:tc>
          <w:tcPr>
            <w:tcW w:w="99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功能分类科目编码</w:t>
            </w:r>
          </w:p>
        </w:tc>
        <w:tc>
          <w:tcPr>
            <w:tcW w:w="3675"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项目（按“项”级功能分类科目）</w:t>
            </w:r>
          </w:p>
        </w:tc>
        <w:tc>
          <w:tcPr>
            <w:tcW w:w="198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99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675"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8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99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675"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8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99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675"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8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4667"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19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124.31</w:t>
            </w:r>
            <w:r>
              <w:rPr>
                <w:rFonts w:hint="default" w:ascii="Times New Roman" w:hAnsi="Times New Roman" w:cs="Times New Roman"/>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124.31</w:t>
            </w:r>
            <w:r>
              <w:rPr>
                <w:rFonts w:hint="default" w:ascii="Times New Roman" w:hAnsi="Times New Roman" w:cs="Times New Roman"/>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12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201</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一般公共服务支出</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95.40</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95.40</w:t>
            </w:r>
            <w:r>
              <w:rPr>
                <w:rFonts w:hint="default" w:ascii="Times New Roman" w:hAnsi="Times New Roman" w:cs="Times New Roman"/>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20140</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信访事务</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95.40</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95.40</w:t>
            </w:r>
            <w:r>
              <w:rPr>
                <w:rFonts w:hint="default" w:ascii="Times New Roman" w:hAnsi="Times New Roman" w:cs="Times New Roman"/>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2014004</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信访业务</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95.40</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95.40</w:t>
            </w: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社会保障和就业支出</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16.90</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16.90</w:t>
            </w:r>
            <w:r>
              <w:rPr>
                <w:rFonts w:hint="default" w:ascii="Times New Roman" w:hAnsi="Times New Roman" w:cs="Times New Roman"/>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20805</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行政事业单位养老支出</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16.90</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16.90</w:t>
            </w:r>
            <w:r>
              <w:rPr>
                <w:rFonts w:hint="default" w:ascii="Times New Roman" w:hAnsi="Times New Roman" w:cs="Times New Roman"/>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2080505</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机关事业单位基本养老保险缴费支出</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11.27</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11.27</w:t>
            </w: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2080506</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机关事业单位职业年金缴费支出</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5.63</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5.63</w:t>
            </w: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卫生健康支出</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6.25</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6.25</w:t>
            </w:r>
            <w:r>
              <w:rPr>
                <w:rFonts w:hint="default" w:ascii="Times New Roman" w:hAnsi="Times New Roman" w:cs="Times New Roman"/>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21011</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行政事业单位医疗</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6.25</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6.25</w:t>
            </w:r>
            <w:r>
              <w:rPr>
                <w:rFonts w:hint="default" w:ascii="Times New Roman" w:hAnsi="Times New Roman" w:cs="Times New Roman"/>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2101102</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事业单位医疗</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4.81</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4.81</w:t>
            </w: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2101199</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其他行政事业单位医疗支出</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1.44</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1.44</w:t>
            </w: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住房保障支出</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5.77</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5.77</w:t>
            </w:r>
            <w:r>
              <w:rPr>
                <w:rFonts w:hint="default" w:ascii="Times New Roman" w:hAnsi="Times New Roman" w:cs="Times New Roman"/>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22102</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住房改革支出</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5.77</w:t>
            </w:r>
            <w:r>
              <w:rPr>
                <w:rFonts w:hint="default" w:ascii="Times New Roman" w:hAnsi="Times New Roman" w:cs="Times New Roman"/>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5.77</w:t>
            </w:r>
            <w:r>
              <w:rPr>
                <w:rFonts w:hint="default" w:ascii="Times New Roman" w:hAnsi="Times New Roman" w:cs="Times New Roman"/>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9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2210201</w:t>
            </w:r>
          </w:p>
        </w:tc>
        <w:tc>
          <w:tcPr>
            <w:tcW w:w="36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住房公积金</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5.77</w:t>
            </w:r>
            <w:r>
              <w:rPr>
                <w:rFonts w:hint="default" w:ascii="Times New Roman" w:hAnsi="Times New Roman" w:cs="Times New Roman"/>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5.77</w:t>
            </w: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bl>
    <w:p>
      <w:pPr>
        <w:ind w:left="630" w:hanging="630" w:hangingChars="300"/>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备注：1.本表反映单位本年度取得的各项收入情况。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p>
    <w:p>
      <w:pP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page"/>
      </w:r>
    </w:p>
    <w:p>
      <w:pPr>
        <w:ind w:left="630" w:hanging="630" w:hangingChars="300"/>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p>
    <w:tbl>
      <w:tblPr>
        <w:tblStyle w:val="7"/>
        <w:tblW w:w="20220" w:type="dxa"/>
        <w:tblInd w:w="990" w:type="dxa"/>
        <w:shd w:val="clear" w:color="auto" w:fill="auto"/>
        <w:tblLayout w:type="fixed"/>
        <w:tblCellMar>
          <w:top w:w="0" w:type="dxa"/>
          <w:left w:w="0" w:type="dxa"/>
          <w:bottom w:w="0" w:type="dxa"/>
          <w:right w:w="0" w:type="dxa"/>
        </w:tblCellMar>
      </w:tblPr>
      <w:tblGrid>
        <w:gridCol w:w="1092"/>
        <w:gridCol w:w="3528"/>
        <w:gridCol w:w="2760"/>
        <w:gridCol w:w="2760"/>
        <w:gridCol w:w="2760"/>
        <w:gridCol w:w="2760"/>
        <w:gridCol w:w="2760"/>
        <w:gridCol w:w="1800"/>
      </w:tblGrid>
      <w:tr>
        <w:tblPrEx>
          <w:shd w:val="clear" w:color="auto" w:fill="auto"/>
        </w:tblPrEx>
        <w:trPr>
          <w:trHeight w:val="654" w:hRule="atLeast"/>
        </w:trPr>
        <w:tc>
          <w:tcPr>
            <w:tcW w:w="2022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支出决算表</w:t>
            </w:r>
          </w:p>
        </w:tc>
      </w:tr>
      <w:tr>
        <w:tblPrEx>
          <w:shd w:val="clear" w:color="auto" w:fill="auto"/>
          <w:tblCellMar>
            <w:top w:w="0" w:type="dxa"/>
            <w:left w:w="0" w:type="dxa"/>
            <w:bottom w:w="0" w:type="dxa"/>
            <w:right w:w="0" w:type="dxa"/>
          </w:tblCellMar>
        </w:tblPrEx>
        <w:trPr>
          <w:trHeight w:val="342" w:hRule="atLeast"/>
        </w:trPr>
        <w:tc>
          <w:tcPr>
            <w:tcW w:w="4620"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r>
              <w:rPr>
                <w:rFonts w:hint="default" w:ascii="Times New Roman" w:hAnsi="Times New Roman" w:cs="Times New Roman" w:eastAsiaTheme="minorEastAsia"/>
                <w:sz w:val="24"/>
                <w:szCs w:val="24"/>
                <w:lang w:eastAsia="zh-CN"/>
              </w:rPr>
              <w:t>公开单位</w:t>
            </w:r>
            <w:r>
              <w:rPr>
                <w:rFonts w:hint="default" w:ascii="Times New Roman" w:hAnsi="Times New Roman" w:cs="Times New Roman" w:eastAsiaTheme="minorEastAsia"/>
                <w:color w:val="000000"/>
                <w:sz w:val="24"/>
                <w:szCs w:val="24"/>
                <w:lang w:bidi="ar"/>
              </w:rPr>
              <w:t xml:space="preserve">： </w:t>
            </w:r>
            <w:r>
              <w:rPr>
                <w:rFonts w:hint="default" w:ascii="Times New Roman" w:hAnsi="Times New Roman" w:cs="Times New Roman"/>
                <w:color w:val="000000"/>
                <w:sz w:val="24"/>
                <w:u w:color="auto"/>
              </w:rPr>
              <w:t xml:space="preserve">黔江区群众诉求服务中心 </w:t>
            </w: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公开03表</w:t>
            </w:r>
          </w:p>
        </w:tc>
      </w:tr>
      <w:tr>
        <w:tblPrEx>
          <w:shd w:val="clear" w:color="auto" w:fill="auto"/>
          <w:tblCellMar>
            <w:top w:w="0" w:type="dxa"/>
            <w:left w:w="0" w:type="dxa"/>
            <w:bottom w:w="0" w:type="dxa"/>
            <w:right w:w="0" w:type="dxa"/>
          </w:tblCellMar>
        </w:tblPrEx>
        <w:trPr>
          <w:trHeight w:val="342" w:hRule="atLeast"/>
        </w:trPr>
        <w:tc>
          <w:tcPr>
            <w:tcW w:w="4620"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362" w:hRule="atLeast"/>
        </w:trPr>
        <w:tc>
          <w:tcPr>
            <w:tcW w:w="462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对附属单位补助支出</w:t>
            </w:r>
          </w:p>
        </w:tc>
      </w:tr>
      <w:tr>
        <w:tblPrEx>
          <w:shd w:val="clear" w:color="auto" w:fill="auto"/>
          <w:tblCellMar>
            <w:top w:w="0" w:type="dxa"/>
            <w:left w:w="0" w:type="dxa"/>
            <w:bottom w:w="0" w:type="dxa"/>
            <w:right w:w="0" w:type="dxa"/>
          </w:tblCellMar>
        </w:tblPrEx>
        <w:trPr>
          <w:trHeight w:val="338" w:hRule="atLeast"/>
        </w:trPr>
        <w:tc>
          <w:tcPr>
            <w:tcW w:w="109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109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109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109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62" w:hRule="atLeast"/>
        </w:trPr>
        <w:tc>
          <w:tcPr>
            <w:tcW w:w="462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124.31</w:t>
            </w:r>
            <w:r>
              <w:rPr>
                <w:rFonts w:hint="default" w:ascii="Times New Roman" w:hAnsi="Times New Roman" w:cs="Times New Roman"/>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124.31</w:t>
            </w:r>
            <w:r>
              <w:rPr>
                <w:rFonts w:hint="default" w:ascii="Times New Roman" w:hAnsi="Times New Roman" w:cs="Times New Roman"/>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一般公共服务支出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95.40</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95.40</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20140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信访事务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95.40</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95.40</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2014004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信访业务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95.40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95.40</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16.90</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16.90</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16.90</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16.90</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11.27</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11.27</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5.63</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5.63</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6.25</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6.25</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6.25</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6.25</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4.81</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4.81</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1.44</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1.44</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5.77</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5.77</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5.77</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b/>
                <w:color w:val="000000"/>
                <w:sz w:val="21"/>
                <w:szCs w:val="21"/>
                <w:lang w:bidi="ar"/>
              </w:rPr>
              <w:t>5.77</w:t>
            </w:r>
            <w:r>
              <w:rPr>
                <w:rFonts w:hint="default" w:ascii="Times New Roman" w:hAnsi="Times New Roman" w:cs="Times New Roman"/>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10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5.77</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color w:val="000000"/>
                <w:sz w:val="21"/>
                <w:szCs w:val="21"/>
                <w:lang w:bidi="ar"/>
              </w:rPr>
              <w:t>5.77</w:t>
            </w: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cs="Times New Roman"/>
                <w:color w:val="000000"/>
                <w:sz w:val="21"/>
                <w:szCs w:val="21"/>
                <w:lang w:val="en-US" w:eastAsia="zh-CN" w:bidi="ar"/>
              </w:rPr>
              <w:t xml:space="preserve"> </w:t>
            </w:r>
          </w:p>
        </w:tc>
      </w:tr>
    </w:tbl>
    <w:p>
      <w:pPr>
        <w:rPr>
          <w:rFonts w:hint="default" w:ascii="Times New Roman" w:hAnsi="Times New Roman" w:eastAsia="宋体" w:cs="Times New Roman"/>
          <w:sz w:val="21"/>
          <w:szCs w:val="21"/>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备注：1.本表反映单位本年度取得的各项收入情况。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page"/>
      </w:r>
    </w:p>
    <w:p>
      <w:pP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p>
    <w:tbl>
      <w:tblPr>
        <w:tblStyle w:val="7"/>
        <w:tblW w:w="20301" w:type="dxa"/>
        <w:tblInd w:w="960" w:type="dxa"/>
        <w:shd w:val="clear" w:color="auto" w:fill="auto"/>
        <w:tblLayout w:type="fixed"/>
        <w:tblCellMar>
          <w:top w:w="0" w:type="dxa"/>
          <w:left w:w="0" w:type="dxa"/>
          <w:bottom w:w="0" w:type="dxa"/>
          <w:right w:w="0" w:type="dxa"/>
        </w:tblCellMar>
      </w:tblPr>
      <w:tblGrid>
        <w:gridCol w:w="3108"/>
        <w:gridCol w:w="2674"/>
        <w:gridCol w:w="3752"/>
        <w:gridCol w:w="2952"/>
        <w:gridCol w:w="2952"/>
        <w:gridCol w:w="2952"/>
        <w:gridCol w:w="1911"/>
      </w:tblGrid>
      <w:tr>
        <w:tblPrEx>
          <w:shd w:val="clear" w:color="auto" w:fill="auto"/>
        </w:tblPrEx>
        <w:trPr>
          <w:trHeight w:val="90" w:hRule="atLeast"/>
        </w:trPr>
        <w:tc>
          <w:tcPr>
            <w:tcW w:w="20301" w:type="dxa"/>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财政拨款收入支出决算总表</w:t>
            </w:r>
          </w:p>
        </w:tc>
      </w:tr>
      <w:tr>
        <w:tblPrEx>
          <w:shd w:val="clear" w:color="auto" w:fill="auto"/>
          <w:tblCellMar>
            <w:top w:w="0" w:type="dxa"/>
            <w:left w:w="0" w:type="dxa"/>
            <w:bottom w:w="0" w:type="dxa"/>
            <w:right w:w="0" w:type="dxa"/>
          </w:tblCellMar>
        </w:tblPrEx>
        <w:trPr>
          <w:trHeight w:val="90" w:hRule="atLeast"/>
        </w:trPr>
        <w:tc>
          <w:tcPr>
            <w:tcW w:w="5782"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r>
              <w:rPr>
                <w:rFonts w:hint="default" w:ascii="Times New Roman" w:hAnsi="Times New Roman" w:cs="Times New Roman" w:eastAsiaTheme="minorEastAsia"/>
                <w:sz w:val="24"/>
                <w:szCs w:val="24"/>
                <w:lang w:eastAsia="zh-CN"/>
              </w:rPr>
              <w:t>公开单位</w:t>
            </w:r>
            <w:r>
              <w:rPr>
                <w:rFonts w:hint="default" w:ascii="Times New Roman" w:hAnsi="Times New Roman" w:cs="Times New Roman" w:eastAsiaTheme="minorEastAsia"/>
                <w:color w:val="000000"/>
                <w:sz w:val="24"/>
                <w:szCs w:val="24"/>
                <w:lang w:bidi="ar"/>
              </w:rPr>
              <w:t xml:space="preserve">： </w:t>
            </w:r>
            <w:r>
              <w:rPr>
                <w:rFonts w:hint="default" w:ascii="Times New Roman" w:hAnsi="Times New Roman" w:cs="Times New Roman"/>
                <w:color w:val="000000"/>
                <w:sz w:val="24"/>
                <w:u w:color="auto"/>
              </w:rPr>
              <w:t>黔江区群众诉求服务中心</w:t>
            </w: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91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公开04表</w:t>
            </w:r>
          </w:p>
        </w:tc>
      </w:tr>
      <w:tr>
        <w:tblPrEx>
          <w:shd w:val="clear" w:color="auto" w:fill="auto"/>
          <w:tblCellMar>
            <w:top w:w="0" w:type="dxa"/>
            <w:left w:w="0" w:type="dxa"/>
            <w:bottom w:w="0" w:type="dxa"/>
            <w:right w:w="0" w:type="dxa"/>
          </w:tblCellMar>
        </w:tblPrEx>
        <w:trPr>
          <w:trHeight w:val="90" w:hRule="atLeast"/>
        </w:trPr>
        <w:tc>
          <w:tcPr>
            <w:tcW w:w="5782"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91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90" w:hRule="atLeast"/>
        </w:trPr>
        <w:tc>
          <w:tcPr>
            <w:tcW w:w="578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收     入</w:t>
            </w:r>
          </w:p>
        </w:tc>
        <w:tc>
          <w:tcPr>
            <w:tcW w:w="14519"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支     出</w:t>
            </w:r>
          </w:p>
        </w:tc>
      </w:tr>
      <w:tr>
        <w:tblPrEx>
          <w:shd w:val="clear" w:color="auto" w:fill="auto"/>
          <w:tblCellMar>
            <w:top w:w="0" w:type="dxa"/>
            <w:left w:w="0" w:type="dxa"/>
            <w:bottom w:w="0" w:type="dxa"/>
            <w:right w:w="0" w:type="dxa"/>
          </w:tblCellMar>
        </w:tblPrEx>
        <w:trPr>
          <w:trHeight w:val="90" w:hRule="atLeast"/>
        </w:trPr>
        <w:tc>
          <w:tcPr>
            <w:tcW w:w="310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功能分类科目</w:t>
            </w:r>
          </w:p>
        </w:tc>
        <w:tc>
          <w:tcPr>
            <w:tcW w:w="10767"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90" w:hRule="atLeast"/>
        </w:trPr>
        <w:tc>
          <w:tcPr>
            <w:tcW w:w="310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政府性基金预算财政拨款</w:t>
            </w:r>
          </w:p>
        </w:tc>
        <w:tc>
          <w:tcPr>
            <w:tcW w:w="1911"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国有资本经营预算财政拨款</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95.40</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95.40</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16.90</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16.90</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6.25</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6.25</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5.77</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5.77</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90" w:hRule="atLeast"/>
        </w:trPr>
        <w:tc>
          <w:tcPr>
            <w:tcW w:w="310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0"/>
                <w:szCs w:val="20"/>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0"/>
                <w:szCs w:val="20"/>
                <w:u w:val="none"/>
                <w:lang w:val="en-US" w:eastAsia="zh-CN"/>
              </w:rPr>
            </w:pPr>
            <w:r>
              <w:rPr>
                <w:rFonts w:hint="default" w:ascii="Times New Roman" w:hAnsi="Times New Roman" w:eastAsia="宋体" w:cs="Times New Roman"/>
                <w:color w:val="000000"/>
                <w:sz w:val="21"/>
                <w:szCs w:val="21"/>
                <w:lang w:bidi="ar"/>
              </w:rPr>
              <w:t>124.31</w:t>
            </w:r>
            <w:r>
              <w:rPr>
                <w:rFonts w:hint="default" w:ascii="Times New Roman" w:hAnsi="Times New Roman" w:cs="Times New Roman"/>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0"/>
                <w:szCs w:val="20"/>
                <w:u w:val="none"/>
                <w:lang w:val="en-US" w:eastAsia="zh-CN"/>
              </w:rPr>
            </w:pPr>
            <w:r>
              <w:rPr>
                <w:rFonts w:hint="default" w:ascii="Times New Roman" w:hAnsi="Times New Roman" w:cs="Times New Roman"/>
                <w:color w:val="000000"/>
                <w:sz w:val="21"/>
                <w:szCs w:val="21"/>
                <w:lang w:val="en-US" w:eastAsia="zh-CN" w:bidi="ar"/>
              </w:rPr>
              <w:t xml:space="preserve"> </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bl>
    <w:p>
      <w:pPr>
        <w:rPr>
          <w:rFonts w:hint="default" w:ascii="Times New Roman" w:hAnsi="Times New Roman" w:eastAsia="宋体" w:cs="Times New Roman"/>
          <w:sz w:val="21"/>
          <w:szCs w:val="21"/>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20355" w:type="dxa"/>
        <w:tblInd w:w="921" w:type="dxa"/>
        <w:shd w:val="clear" w:color="auto" w:fill="auto"/>
        <w:tblLayout w:type="fixed"/>
        <w:tblCellMar>
          <w:top w:w="0" w:type="dxa"/>
          <w:left w:w="0" w:type="dxa"/>
          <w:bottom w:w="0" w:type="dxa"/>
          <w:right w:w="0" w:type="dxa"/>
        </w:tblCellMar>
      </w:tblPr>
      <w:tblGrid>
        <w:gridCol w:w="1773"/>
        <w:gridCol w:w="5151"/>
        <w:gridCol w:w="4817"/>
        <w:gridCol w:w="4817"/>
        <w:gridCol w:w="3797"/>
      </w:tblGrid>
      <w:tr>
        <w:tblPrEx>
          <w:shd w:val="clear" w:color="auto" w:fill="auto"/>
        </w:tblPrEx>
        <w:trPr>
          <w:trHeight w:val="510" w:hRule="atLeast"/>
        </w:trPr>
        <w:tc>
          <w:tcPr>
            <w:tcW w:w="20355"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一般公共预算财政拨款支出决算表</w:t>
            </w:r>
          </w:p>
        </w:tc>
      </w:tr>
      <w:tr>
        <w:tblPrEx>
          <w:shd w:val="clear" w:color="auto" w:fill="auto"/>
          <w:tblCellMar>
            <w:top w:w="0" w:type="dxa"/>
            <w:left w:w="0" w:type="dxa"/>
            <w:bottom w:w="0" w:type="dxa"/>
            <w:right w:w="0" w:type="dxa"/>
          </w:tblCellMar>
        </w:tblPrEx>
        <w:trPr>
          <w:trHeight w:val="255" w:hRule="atLeast"/>
        </w:trPr>
        <w:tc>
          <w:tcPr>
            <w:tcW w:w="6924"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r>
              <w:rPr>
                <w:rFonts w:hint="default" w:ascii="Times New Roman" w:hAnsi="Times New Roman" w:cs="Times New Roman" w:eastAsiaTheme="minorEastAsia"/>
                <w:sz w:val="24"/>
                <w:szCs w:val="24"/>
                <w:lang w:eastAsia="zh-CN"/>
              </w:rPr>
              <w:t>公开单位</w:t>
            </w:r>
            <w:r>
              <w:rPr>
                <w:rFonts w:hint="default" w:ascii="Times New Roman" w:hAnsi="Times New Roman" w:cs="Times New Roman" w:eastAsiaTheme="minorEastAsia"/>
                <w:color w:val="000000"/>
                <w:sz w:val="24"/>
                <w:szCs w:val="24"/>
                <w:lang w:bidi="ar"/>
              </w:rPr>
              <w:t xml:space="preserve">： </w:t>
            </w:r>
            <w:r>
              <w:rPr>
                <w:rFonts w:hint="default" w:ascii="Times New Roman" w:hAnsi="Times New Roman" w:cs="Times New Roman"/>
                <w:color w:val="000000"/>
                <w:sz w:val="24"/>
                <w:u w:color="auto"/>
              </w:rPr>
              <w:t>黔江区群众诉求服务中心</w:t>
            </w: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3797"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公开05表</w:t>
            </w:r>
          </w:p>
        </w:tc>
      </w:tr>
      <w:tr>
        <w:tblPrEx>
          <w:shd w:val="clear" w:color="auto" w:fill="auto"/>
          <w:tblCellMar>
            <w:top w:w="0" w:type="dxa"/>
            <w:left w:w="0" w:type="dxa"/>
            <w:bottom w:w="0" w:type="dxa"/>
            <w:right w:w="0" w:type="dxa"/>
          </w:tblCellMar>
        </w:tblPrEx>
        <w:trPr>
          <w:trHeight w:val="285" w:hRule="atLeast"/>
        </w:trPr>
        <w:tc>
          <w:tcPr>
            <w:tcW w:w="6924"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3797"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308" w:hRule="atLeast"/>
        </w:trPr>
        <w:tc>
          <w:tcPr>
            <w:tcW w:w="6924"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13431"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本年支出</w:t>
            </w:r>
          </w:p>
        </w:tc>
      </w:tr>
      <w:tr>
        <w:tblPrEx>
          <w:shd w:val="clear" w:color="auto" w:fill="auto"/>
          <w:tblCellMar>
            <w:top w:w="0" w:type="dxa"/>
            <w:left w:w="0" w:type="dxa"/>
            <w:bottom w:w="0" w:type="dxa"/>
            <w:right w:w="0" w:type="dxa"/>
          </w:tblCellMar>
        </w:tblPrEx>
        <w:trPr>
          <w:trHeight w:val="308" w:hRule="atLeast"/>
        </w:trPr>
        <w:tc>
          <w:tcPr>
            <w:tcW w:w="1773"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基本支出</w:t>
            </w:r>
          </w:p>
        </w:tc>
        <w:tc>
          <w:tcPr>
            <w:tcW w:w="379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项目支出</w:t>
            </w:r>
          </w:p>
        </w:tc>
      </w:tr>
      <w:tr>
        <w:tblPrEx>
          <w:shd w:val="clear" w:color="auto" w:fill="auto"/>
          <w:tblCellMar>
            <w:top w:w="0" w:type="dxa"/>
            <w:left w:w="0" w:type="dxa"/>
            <w:bottom w:w="0" w:type="dxa"/>
            <w:right w:w="0" w:type="dxa"/>
          </w:tblCellMar>
        </w:tblPrEx>
        <w:trPr>
          <w:trHeight w:val="278" w:hRule="atLeast"/>
        </w:trPr>
        <w:tc>
          <w:tcPr>
            <w:tcW w:w="1773"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79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1773"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79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08" w:hRule="atLeast"/>
        </w:trPr>
        <w:tc>
          <w:tcPr>
            <w:tcW w:w="6924"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124.31</w:t>
            </w:r>
            <w:r>
              <w:rPr>
                <w:rFonts w:hint="default" w:ascii="Times New Roman" w:hAnsi="Times New Roman" w:cs="Times New Roman"/>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color w:val="000000"/>
                <w:sz w:val="21"/>
                <w:szCs w:val="21"/>
                <w:lang w:bidi="ar"/>
              </w:rPr>
              <w:t>124.31</w:t>
            </w:r>
            <w:r>
              <w:rPr>
                <w:rFonts w:hint="default" w:ascii="Times New Roman" w:hAnsi="Times New Roman" w:cs="Times New Roman"/>
                <w:b/>
                <w:bCs/>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一般公共服务支出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95.40</w:t>
            </w:r>
            <w:r>
              <w:rPr>
                <w:rFonts w:hint="default" w:ascii="Times New Roman" w:hAnsi="Times New Roman" w:cs="Times New Roman"/>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95.40</w:t>
            </w:r>
            <w:r>
              <w:rPr>
                <w:rFonts w:hint="default" w:ascii="Times New Roman" w:hAnsi="Times New Roman" w:cs="Times New Roman"/>
                <w:b/>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20140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信访事务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95.40</w:t>
            </w:r>
            <w:r>
              <w:rPr>
                <w:rFonts w:hint="default" w:ascii="Times New Roman" w:hAnsi="Times New Roman" w:cs="Times New Roman"/>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95.40</w:t>
            </w:r>
            <w:r>
              <w:rPr>
                <w:rFonts w:hint="default" w:ascii="Times New Roman" w:hAnsi="Times New Roman" w:cs="Times New Roman"/>
                <w:b/>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2014004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信访业务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95.40</w:t>
            </w:r>
            <w:r>
              <w:rPr>
                <w:rFonts w:hint="default" w:ascii="Times New Roman" w:hAnsi="Times New Roman" w:cs="Times New Roman"/>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95.40</w:t>
            </w:r>
            <w:r>
              <w:rPr>
                <w:rFonts w:hint="default" w:ascii="Times New Roman" w:hAnsi="Times New Roman" w:cs="Times New Roman"/>
                <w:b w:val="0"/>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16.90</w:t>
            </w:r>
            <w:r>
              <w:rPr>
                <w:rFonts w:hint="default" w:ascii="Times New Roman" w:hAnsi="Times New Roman" w:cs="Times New Roman"/>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16.90</w:t>
            </w:r>
            <w:r>
              <w:rPr>
                <w:rFonts w:hint="default" w:ascii="Times New Roman" w:hAnsi="Times New Roman" w:cs="Times New Roman"/>
                <w:b/>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16.90</w:t>
            </w:r>
            <w:r>
              <w:rPr>
                <w:rFonts w:hint="default" w:ascii="Times New Roman" w:hAnsi="Times New Roman" w:cs="Times New Roman"/>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16.90</w:t>
            </w:r>
            <w:r>
              <w:rPr>
                <w:rFonts w:hint="default" w:ascii="Times New Roman" w:hAnsi="Times New Roman" w:cs="Times New Roman"/>
                <w:b/>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11.27</w:t>
            </w:r>
            <w:r>
              <w:rPr>
                <w:rFonts w:hint="default" w:ascii="Times New Roman" w:hAnsi="Times New Roman" w:cs="Times New Roman"/>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11.27</w:t>
            </w:r>
            <w:r>
              <w:rPr>
                <w:rFonts w:hint="default" w:ascii="Times New Roman" w:hAnsi="Times New Roman" w:cs="Times New Roman"/>
                <w:b w:val="0"/>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5.63</w:t>
            </w:r>
            <w:r>
              <w:rPr>
                <w:rFonts w:hint="default" w:ascii="Times New Roman" w:hAnsi="Times New Roman" w:cs="Times New Roman"/>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5.63</w:t>
            </w:r>
            <w:r>
              <w:rPr>
                <w:rFonts w:hint="default" w:ascii="Times New Roman" w:hAnsi="Times New Roman" w:cs="Times New Roman"/>
                <w:b w:val="0"/>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6.25</w:t>
            </w:r>
            <w:r>
              <w:rPr>
                <w:rFonts w:hint="default" w:ascii="Times New Roman" w:hAnsi="Times New Roman" w:cs="Times New Roman"/>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6.25</w:t>
            </w:r>
            <w:r>
              <w:rPr>
                <w:rFonts w:hint="default" w:ascii="Times New Roman" w:hAnsi="Times New Roman" w:cs="Times New Roman"/>
                <w:b/>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6.25</w:t>
            </w:r>
            <w:r>
              <w:rPr>
                <w:rFonts w:hint="default" w:ascii="Times New Roman" w:hAnsi="Times New Roman" w:cs="Times New Roman"/>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6.25</w:t>
            </w:r>
            <w:r>
              <w:rPr>
                <w:rFonts w:hint="default" w:ascii="Times New Roman" w:hAnsi="Times New Roman" w:cs="Times New Roman"/>
                <w:b/>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4.81</w:t>
            </w:r>
            <w:r>
              <w:rPr>
                <w:rFonts w:hint="default" w:ascii="Times New Roman" w:hAnsi="Times New Roman" w:cs="Times New Roman"/>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4.81</w:t>
            </w:r>
            <w:r>
              <w:rPr>
                <w:rFonts w:hint="default" w:ascii="Times New Roman" w:hAnsi="Times New Roman" w:cs="Times New Roman"/>
                <w:b w:val="0"/>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1.44</w:t>
            </w:r>
            <w:r>
              <w:rPr>
                <w:rFonts w:hint="default" w:ascii="Times New Roman" w:hAnsi="Times New Roman" w:cs="Times New Roman"/>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1.44</w:t>
            </w:r>
            <w:r>
              <w:rPr>
                <w:rFonts w:hint="default" w:ascii="Times New Roman" w:hAnsi="Times New Roman" w:cs="Times New Roman"/>
                <w:b w:val="0"/>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5.77</w:t>
            </w:r>
            <w:r>
              <w:rPr>
                <w:rFonts w:hint="default" w:ascii="Times New Roman" w:hAnsi="Times New Roman" w:cs="Times New Roman"/>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5.77</w:t>
            </w:r>
            <w:r>
              <w:rPr>
                <w:rFonts w:hint="default" w:ascii="Times New Roman" w:hAnsi="Times New Roman" w:cs="Times New Roman"/>
                <w:b/>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5.77</w:t>
            </w:r>
            <w:r>
              <w:rPr>
                <w:rFonts w:hint="default" w:ascii="Times New Roman" w:hAnsi="Times New Roman" w:cs="Times New Roman"/>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bCs w:val="0"/>
                <w:color w:val="000000"/>
                <w:sz w:val="21"/>
                <w:szCs w:val="21"/>
                <w:lang w:bidi="ar"/>
              </w:rPr>
              <w:t>5.77</w:t>
            </w:r>
            <w:r>
              <w:rPr>
                <w:rFonts w:hint="default" w:ascii="Times New Roman" w:hAnsi="Times New Roman" w:cs="Times New Roman"/>
                <w:b/>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77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5.77</w:t>
            </w:r>
            <w:r>
              <w:rPr>
                <w:rFonts w:hint="default" w:ascii="Times New Roman" w:hAnsi="Times New Roman" w:cs="Times New Roman"/>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eastAsia="宋体" w:cs="Times New Roman"/>
                <w:b w:val="0"/>
                <w:bCs w:val="0"/>
                <w:color w:val="000000"/>
                <w:sz w:val="21"/>
                <w:szCs w:val="21"/>
                <w:lang w:bidi="ar"/>
              </w:rPr>
              <w:t>5.77</w:t>
            </w:r>
            <w:r>
              <w:rPr>
                <w:rFonts w:hint="default" w:ascii="Times New Roman" w:hAnsi="Times New Roman" w:cs="Times New Roman"/>
                <w:b w:val="0"/>
                <w:bCs w:val="0"/>
                <w:color w:val="000000"/>
                <w:sz w:val="21"/>
                <w:szCs w:val="21"/>
                <w:lang w:val="en-US" w:eastAsia="zh-CN" w:bidi="ar"/>
              </w:rPr>
              <w:t xml:space="preserve"> </w:t>
            </w:r>
          </w:p>
        </w:tc>
        <w:tc>
          <w:tcPr>
            <w:tcW w:w="37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val="0"/>
                <w:bCs w:val="0"/>
                <w:color w:val="000000"/>
                <w:sz w:val="21"/>
                <w:szCs w:val="21"/>
                <w:lang w:val="en-US" w:eastAsia="zh-CN" w:bidi="ar"/>
              </w:rPr>
              <w:t xml:space="preserve"> </w:t>
            </w:r>
          </w:p>
        </w:tc>
      </w:tr>
    </w:tbl>
    <w:p>
      <w:pPr>
        <w:rPr>
          <w:rFonts w:hint="default" w:ascii="Times New Roman" w:hAnsi="Times New Roman" w:eastAsia="宋体" w:cs="Times New Roman"/>
          <w:sz w:val="21"/>
          <w:szCs w:val="21"/>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numPr>
          <w:ilvl w:val="0"/>
          <w:numId w:val="0"/>
        </w:numPr>
        <w:ind w:firstLine="630" w:firstLineChars="3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20139" w:type="dxa"/>
        <w:tblInd w:w="936" w:type="dxa"/>
        <w:shd w:val="clear" w:color="auto" w:fill="auto"/>
        <w:tblLayout w:type="fixed"/>
        <w:tblCellMar>
          <w:top w:w="0" w:type="dxa"/>
          <w:left w:w="0" w:type="dxa"/>
          <w:bottom w:w="0" w:type="dxa"/>
          <w:right w:w="0" w:type="dxa"/>
        </w:tblCellMar>
      </w:tblPr>
      <w:tblGrid>
        <w:gridCol w:w="746"/>
        <w:gridCol w:w="3102"/>
        <w:gridCol w:w="2829"/>
        <w:gridCol w:w="1122"/>
        <w:gridCol w:w="2330"/>
        <w:gridCol w:w="2747"/>
        <w:gridCol w:w="1509"/>
        <w:gridCol w:w="4465"/>
        <w:gridCol w:w="1289"/>
      </w:tblGrid>
      <w:tr>
        <w:tblPrEx>
          <w:shd w:val="clear" w:color="auto" w:fill="auto"/>
        </w:tblPrEx>
        <w:trPr>
          <w:trHeight w:val="590" w:hRule="atLeast"/>
        </w:trPr>
        <w:tc>
          <w:tcPr>
            <w:tcW w:w="20139"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一般公共预算财政拨款基本支出决算表</w:t>
            </w:r>
          </w:p>
        </w:tc>
      </w:tr>
      <w:tr>
        <w:tblPrEx>
          <w:shd w:val="clear" w:color="auto" w:fill="auto"/>
          <w:tblCellMar>
            <w:top w:w="0" w:type="dxa"/>
            <w:left w:w="0" w:type="dxa"/>
            <w:bottom w:w="0" w:type="dxa"/>
            <w:right w:w="0" w:type="dxa"/>
          </w:tblCellMar>
        </w:tblPrEx>
        <w:trPr>
          <w:trHeight w:val="302" w:hRule="atLeast"/>
        </w:trPr>
        <w:tc>
          <w:tcPr>
            <w:tcW w:w="3848"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r>
              <w:rPr>
                <w:rFonts w:hint="default" w:ascii="Times New Roman" w:hAnsi="Times New Roman" w:cs="Times New Roman" w:eastAsiaTheme="minorEastAsia"/>
                <w:sz w:val="24"/>
                <w:szCs w:val="24"/>
                <w:lang w:eastAsia="zh-CN"/>
              </w:rPr>
              <w:t>公开单位</w:t>
            </w:r>
            <w:r>
              <w:rPr>
                <w:rFonts w:hint="default" w:ascii="Times New Roman" w:hAnsi="Times New Roman" w:cs="Times New Roman" w:eastAsiaTheme="minorEastAsia"/>
                <w:color w:val="000000"/>
                <w:sz w:val="24"/>
                <w:szCs w:val="24"/>
                <w:lang w:bidi="ar"/>
              </w:rPr>
              <w:t xml:space="preserve">： </w:t>
            </w:r>
            <w:r>
              <w:rPr>
                <w:rFonts w:hint="default" w:ascii="Times New Roman" w:hAnsi="Times New Roman" w:cs="Times New Roman"/>
                <w:color w:val="000000"/>
                <w:sz w:val="24"/>
                <w:u w:color="auto"/>
              </w:rPr>
              <w:t>黔江区群众诉求服务中心</w:t>
            </w: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28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公开06表</w:t>
            </w:r>
          </w:p>
        </w:tc>
      </w:tr>
      <w:tr>
        <w:tblPrEx>
          <w:shd w:val="clear" w:color="auto" w:fill="auto"/>
          <w:tblCellMar>
            <w:top w:w="0" w:type="dxa"/>
            <w:left w:w="0" w:type="dxa"/>
            <w:bottom w:w="0" w:type="dxa"/>
            <w:right w:w="0" w:type="dxa"/>
          </w:tblCellMar>
        </w:tblPrEx>
        <w:trPr>
          <w:trHeight w:val="302" w:hRule="atLeast"/>
        </w:trPr>
        <w:tc>
          <w:tcPr>
            <w:tcW w:w="3848"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28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shd w:val="clear" w:color="auto" w:fill="auto"/>
          <w:tblCellMar>
            <w:top w:w="0" w:type="dxa"/>
            <w:left w:w="0" w:type="dxa"/>
            <w:bottom w:w="0" w:type="dxa"/>
            <w:right w:w="0" w:type="dxa"/>
          </w:tblCellMar>
        </w:tblPrEx>
        <w:trPr>
          <w:trHeight w:val="311" w:hRule="atLeast"/>
        </w:trPr>
        <w:tc>
          <w:tcPr>
            <w:tcW w:w="6677"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人员经费</w:t>
            </w:r>
          </w:p>
        </w:tc>
        <w:tc>
          <w:tcPr>
            <w:tcW w:w="13462"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公用经费</w:t>
            </w:r>
          </w:p>
        </w:tc>
      </w:tr>
      <w:tr>
        <w:tblPrEx>
          <w:shd w:val="clear" w:color="auto" w:fill="auto"/>
          <w:tblCellMar>
            <w:top w:w="0" w:type="dxa"/>
            <w:left w:w="0" w:type="dxa"/>
            <w:bottom w:w="0" w:type="dxa"/>
            <w:right w:w="0" w:type="dxa"/>
          </w:tblCellMar>
        </w:tblPrEx>
        <w:trPr>
          <w:trHeight w:val="312" w:hRule="atLeast"/>
        </w:trPr>
        <w:tc>
          <w:tcPr>
            <w:tcW w:w="74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经济分类科目编码</w:t>
            </w:r>
          </w:p>
        </w:tc>
        <w:tc>
          <w:tcPr>
            <w:tcW w:w="310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cs="Times New Roman"/>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cs="Times New Roman"/>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经济分类科目（按“款”级功能分类科目）</w:t>
            </w:r>
          </w:p>
        </w:tc>
        <w:tc>
          <w:tcPr>
            <w:tcW w:w="128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cs="Times New Roman"/>
                <w:b/>
                <w:i w:val="0"/>
                <w:color w:val="000000"/>
                <w:kern w:val="0"/>
                <w:sz w:val="22"/>
                <w:szCs w:val="22"/>
                <w:u w:val="none"/>
                <w:lang w:val="en-US" w:eastAsia="zh-CN" w:bidi="ar"/>
              </w:rPr>
              <w:t>金额</w:t>
            </w:r>
          </w:p>
        </w:tc>
      </w:tr>
      <w:tr>
        <w:tblPrEx>
          <w:shd w:val="clear" w:color="auto" w:fill="auto"/>
          <w:tblCellMar>
            <w:top w:w="0" w:type="dxa"/>
            <w:left w:w="0" w:type="dxa"/>
            <w:bottom w:w="0" w:type="dxa"/>
            <w:right w:w="0" w:type="dxa"/>
          </w:tblCellMar>
        </w:tblPrEx>
        <w:trPr>
          <w:trHeight w:val="799" w:hRule="atLeast"/>
        </w:trPr>
        <w:tc>
          <w:tcPr>
            <w:tcW w:w="74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10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28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113.38</w:t>
            </w: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10.94</w:t>
            </w: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资本性支出</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30101</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27.00</w:t>
            </w: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0.37</w:t>
            </w: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房屋建筑物购建</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30102</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2.85</w:t>
            </w: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办公设备购置</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30103</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专用设备购置</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30106</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5.00</w:t>
            </w: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基础设施建设</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30107</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49.46</w:t>
            </w: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大型修缮</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30108</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11.27</w:t>
            </w: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1.50</w:t>
            </w: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信息网络及软件购置更新</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30109</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5.63</w:t>
            </w: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2.61</w:t>
            </w: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物资储备</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64"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30110</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4.81</w:t>
            </w: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土地补偿</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30111</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安置补助</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30112</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0.14</w:t>
            </w: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0.98</w:t>
            </w: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地上附着物和青苗补偿</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30113</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5.77</w:t>
            </w: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拆迁补偿</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30114</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1.44</w:t>
            </w: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公务用车购置</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30199</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其他交通工具购置</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文物和陈列品购置</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30301</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0.72</w:t>
            </w: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无形资产购置</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30302</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其他资本性支出</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30303</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对企业补助</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30304</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资本金注入</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30305</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政府投资基金股权投资</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30306</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费用补贴</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30307</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利息补贴</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30308</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3.79</w:t>
            </w: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其他对企业补助</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30309</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0.96</w:t>
            </w: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其他支出</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30310</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国家赔偿费用支出</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30311</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对民间非营利组织和群众性自治组织补贴</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30399</w:t>
            </w: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经常性赠与</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资本性赠与</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其他支出</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r>
        <w:tblPrEx>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1" w:hRule="atLeast"/>
        </w:trPr>
        <w:tc>
          <w:tcPr>
            <w:tcW w:w="746"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310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default" w:ascii="Times New Roman" w:hAnsi="Times New Roman" w:eastAsia="宋体" w:cs="Times New Roman"/>
                <w:i w:val="0"/>
                <w:color w:val="000000"/>
                <w:sz w:val="22"/>
                <w:szCs w:val="22"/>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21" w:hRule="atLeast"/>
        </w:trPr>
        <w:tc>
          <w:tcPr>
            <w:tcW w:w="3848"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default" w:ascii="Times New Roman" w:hAnsi="Times New Roman" w:eastAsia="宋体" w:cs="Times New Roman"/>
                <w:i w:val="0"/>
                <w:color w:val="000000"/>
                <w:sz w:val="20"/>
                <w:szCs w:val="20"/>
                <w:u w:val="none"/>
                <w:lang w:val="en-US" w:eastAsia="zh-CN"/>
              </w:rPr>
            </w:pPr>
            <w:r>
              <w:rPr>
                <w:rFonts w:hint="default" w:ascii="Times New Roman" w:hAnsi="Times New Roman" w:eastAsia="宋体" w:cs="Times New Roman"/>
                <w:color w:val="000000"/>
                <w:sz w:val="21"/>
                <w:szCs w:val="21"/>
                <w:lang w:bidi="ar"/>
              </w:rPr>
              <w:t>113.38</w:t>
            </w:r>
            <w:r>
              <w:rPr>
                <w:rFonts w:hint="default" w:ascii="Times New Roman" w:hAnsi="Times New Roman" w:cs="Times New Roman"/>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公用经费合计</w:t>
            </w:r>
          </w:p>
        </w:tc>
        <w:tc>
          <w:tcPr>
            <w:tcW w:w="12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default" w:ascii="Times New Roman" w:hAnsi="Times New Roman" w:eastAsia="宋体" w:cs="Times New Roman"/>
                <w:i w:val="0"/>
                <w:color w:val="000000"/>
                <w:sz w:val="22"/>
                <w:szCs w:val="22"/>
                <w:u w:val="none"/>
                <w:lang w:val="en-US" w:eastAsia="zh-CN"/>
              </w:rPr>
            </w:pPr>
            <w:r>
              <w:rPr>
                <w:rFonts w:hint="default" w:ascii="Times New Roman" w:hAnsi="Times New Roman" w:eastAsia="宋体" w:cs="Times New Roman"/>
                <w:color w:val="000000"/>
                <w:sz w:val="21"/>
                <w:szCs w:val="21"/>
                <w:lang w:bidi="ar"/>
              </w:rPr>
              <w:t>10.94</w:t>
            </w:r>
            <w:r>
              <w:rPr>
                <w:rFonts w:hint="default" w:ascii="Times New Roman" w:hAnsi="Times New Roman" w:cs="Times New Roman"/>
                <w:color w:val="000000"/>
                <w:sz w:val="21"/>
                <w:szCs w:val="21"/>
                <w:lang w:val="en-US" w:eastAsia="zh-CN" w:bidi="ar"/>
              </w:rPr>
              <w:t xml:space="preserve"> </w:t>
            </w:r>
          </w:p>
        </w:tc>
      </w:tr>
    </w:tbl>
    <w:p>
      <w:pPr>
        <w:rPr>
          <w:rFonts w:hint="default" w:ascii="Times New Roman" w:hAnsi="Times New Roman" w:eastAsia="宋体" w:cs="Times New Roman"/>
          <w:sz w:val="21"/>
          <w:szCs w:val="21"/>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rPr>
          <w:rFonts w:hint="default" w:ascii="Times New Roman" w:hAnsi="Times New Roman" w:eastAsia="宋体" w:cs="Times New Roman"/>
          <w:sz w:val="21"/>
          <w:szCs w:val="21"/>
        </w:rPr>
      </w:pPr>
    </w:p>
    <w:tbl>
      <w:tblPr>
        <w:tblStyle w:val="7"/>
        <w:tblW w:w="20143" w:type="dxa"/>
        <w:tblInd w:w="947" w:type="dxa"/>
        <w:shd w:val="clear" w:color="auto" w:fill="auto"/>
        <w:tblLayout w:type="fixed"/>
        <w:tblCellMar>
          <w:top w:w="0" w:type="dxa"/>
          <w:left w:w="0" w:type="dxa"/>
          <w:bottom w:w="0" w:type="dxa"/>
          <w:right w:w="0" w:type="dxa"/>
        </w:tblCellMar>
      </w:tblPr>
      <w:tblGrid>
        <w:gridCol w:w="1739"/>
        <w:gridCol w:w="4465"/>
        <w:gridCol w:w="2473"/>
        <w:gridCol w:w="2473"/>
        <w:gridCol w:w="2473"/>
        <w:gridCol w:w="2473"/>
        <w:gridCol w:w="2558"/>
        <w:gridCol w:w="1489"/>
      </w:tblGrid>
      <w:tr>
        <w:tblPrEx>
          <w:shd w:val="clear" w:color="auto" w:fill="auto"/>
          <w:tblCellMar>
            <w:top w:w="0" w:type="dxa"/>
            <w:left w:w="0" w:type="dxa"/>
            <w:bottom w:w="0" w:type="dxa"/>
            <w:right w:w="0" w:type="dxa"/>
          </w:tblCellMar>
        </w:tblPrEx>
        <w:trPr>
          <w:trHeight w:val="644" w:hRule="atLeast"/>
        </w:trPr>
        <w:tc>
          <w:tcPr>
            <w:tcW w:w="20143"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政府性基金预算财政拨款收入支出决算表</w:t>
            </w:r>
          </w:p>
        </w:tc>
      </w:tr>
      <w:tr>
        <w:tblPrEx>
          <w:shd w:val="clear" w:color="auto" w:fill="auto"/>
          <w:tblCellMar>
            <w:top w:w="0" w:type="dxa"/>
            <w:left w:w="0" w:type="dxa"/>
            <w:bottom w:w="0" w:type="dxa"/>
            <w:right w:w="0" w:type="dxa"/>
          </w:tblCellMar>
        </w:tblPrEx>
        <w:trPr>
          <w:trHeight w:val="329" w:hRule="atLeast"/>
        </w:trPr>
        <w:tc>
          <w:tcPr>
            <w:tcW w:w="6204"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r>
              <w:rPr>
                <w:rFonts w:hint="default" w:ascii="Times New Roman" w:hAnsi="Times New Roman" w:cs="Times New Roman" w:eastAsiaTheme="minorEastAsia"/>
                <w:sz w:val="24"/>
                <w:szCs w:val="24"/>
                <w:lang w:eastAsia="zh-CN"/>
              </w:rPr>
              <w:t>公开单位</w:t>
            </w:r>
            <w:r>
              <w:rPr>
                <w:rFonts w:hint="default" w:ascii="Times New Roman" w:hAnsi="Times New Roman" w:cs="Times New Roman" w:eastAsiaTheme="minorEastAsia"/>
                <w:color w:val="000000"/>
                <w:sz w:val="24"/>
                <w:szCs w:val="24"/>
                <w:lang w:bidi="ar"/>
              </w:rPr>
              <w:t xml:space="preserve">： </w:t>
            </w:r>
            <w:r>
              <w:rPr>
                <w:rFonts w:hint="default" w:ascii="Times New Roman" w:hAnsi="Times New Roman" w:cs="Times New Roman"/>
                <w:color w:val="000000"/>
                <w:sz w:val="24"/>
                <w:u w:color="auto"/>
              </w:rPr>
              <w:t>黔江区群众诉求服务中心</w:t>
            </w: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148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公开07表</w:t>
            </w:r>
          </w:p>
        </w:tc>
      </w:tr>
      <w:tr>
        <w:tblPrEx>
          <w:tblCellMar>
            <w:top w:w="0" w:type="dxa"/>
            <w:left w:w="0" w:type="dxa"/>
            <w:bottom w:w="0" w:type="dxa"/>
            <w:right w:w="0" w:type="dxa"/>
          </w:tblCellMar>
        </w:tblPrEx>
        <w:trPr>
          <w:trHeight w:val="329" w:hRule="atLeast"/>
        </w:trPr>
        <w:tc>
          <w:tcPr>
            <w:tcW w:w="6204"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148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tblCellMar>
            <w:top w:w="0" w:type="dxa"/>
            <w:left w:w="0" w:type="dxa"/>
            <w:bottom w:w="0" w:type="dxa"/>
            <w:right w:w="0" w:type="dxa"/>
          </w:tblCellMar>
        </w:tblPrEx>
        <w:trPr>
          <w:trHeight w:val="339" w:hRule="atLeast"/>
        </w:trPr>
        <w:tc>
          <w:tcPr>
            <w:tcW w:w="6204"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本年支出</w:t>
            </w:r>
          </w:p>
        </w:tc>
        <w:tc>
          <w:tcPr>
            <w:tcW w:w="148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年末结转和结余</w:t>
            </w:r>
          </w:p>
        </w:tc>
      </w:tr>
      <w:tr>
        <w:tblPrEx>
          <w:tblCellMar>
            <w:top w:w="0" w:type="dxa"/>
            <w:left w:w="0" w:type="dxa"/>
            <w:bottom w:w="0" w:type="dxa"/>
            <w:right w:w="0" w:type="dxa"/>
          </w:tblCellMar>
        </w:tblPrEx>
        <w:trPr>
          <w:trHeight w:val="335" w:hRule="atLeast"/>
        </w:trPr>
        <w:tc>
          <w:tcPr>
            <w:tcW w:w="17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项目支出</w:t>
            </w:r>
          </w:p>
        </w:tc>
        <w:tc>
          <w:tcPr>
            <w:tcW w:w="148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335" w:hRule="atLeast"/>
        </w:trPr>
        <w:tc>
          <w:tcPr>
            <w:tcW w:w="17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48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645" w:hRule="atLeast"/>
        </w:trPr>
        <w:tc>
          <w:tcPr>
            <w:tcW w:w="17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48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339" w:hRule="atLeast"/>
        </w:trPr>
        <w:tc>
          <w:tcPr>
            <w:tcW w:w="6204"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14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r>
      <w:tr>
        <w:tblPrEx>
          <w:tblCellMar>
            <w:top w:w="0" w:type="dxa"/>
            <w:left w:w="0" w:type="dxa"/>
            <w:bottom w:w="0" w:type="dxa"/>
            <w:right w:w="0" w:type="dxa"/>
          </w:tblCellMar>
        </w:tblPrEx>
        <w:trPr>
          <w:trHeight w:val="349" w:hRule="atLeast"/>
        </w:trPr>
        <w:tc>
          <w:tcPr>
            <w:tcW w:w="173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ascii="Times New Roman" w:hAnsi="Times New Roman" w:eastAsia="宋体" w:cs="Times New Roman"/>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ascii="Times New Roman" w:hAnsi="Times New Roman" w:eastAsia="宋体" w:cs="Times New Roman"/>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14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bl>
    <w:p>
      <w:pPr>
        <w:rPr>
          <w:rFonts w:hint="default" w:ascii="Times New Roman" w:hAnsi="Times New Roman" w:eastAsia="宋体" w:cs="Times New Roman"/>
          <w:sz w:val="21"/>
          <w:szCs w:val="21"/>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19603" w:type="dxa"/>
        <w:tblInd w:w="1307" w:type="dxa"/>
        <w:shd w:val="clear" w:color="auto" w:fill="auto"/>
        <w:tblLayout w:type="fixed"/>
        <w:tblCellMar>
          <w:top w:w="0" w:type="dxa"/>
          <w:left w:w="0" w:type="dxa"/>
          <w:bottom w:w="0" w:type="dxa"/>
          <w:right w:w="0" w:type="dxa"/>
        </w:tblCellMar>
      </w:tblPr>
      <w:tblGrid>
        <w:gridCol w:w="1422"/>
        <w:gridCol w:w="4420"/>
        <w:gridCol w:w="4736"/>
        <w:gridCol w:w="5423"/>
        <w:gridCol w:w="3602"/>
      </w:tblGrid>
      <w:tr>
        <w:tblPrEx>
          <w:shd w:val="clear" w:color="auto" w:fill="auto"/>
        </w:tblPrEx>
        <w:trPr>
          <w:trHeight w:val="650" w:hRule="atLeast"/>
        </w:trPr>
        <w:tc>
          <w:tcPr>
            <w:tcW w:w="19603"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国有资本经营预算财政拨款支出决算表</w:t>
            </w:r>
          </w:p>
        </w:tc>
      </w:tr>
      <w:tr>
        <w:tblPrEx>
          <w:shd w:val="clear" w:color="auto" w:fill="auto"/>
          <w:tblCellMar>
            <w:top w:w="0" w:type="dxa"/>
            <w:left w:w="0" w:type="dxa"/>
            <w:bottom w:w="0" w:type="dxa"/>
            <w:right w:w="0" w:type="dxa"/>
          </w:tblCellMar>
        </w:tblPrEx>
        <w:trPr>
          <w:trHeight w:val="332" w:hRule="atLeast"/>
        </w:trPr>
        <w:tc>
          <w:tcPr>
            <w:tcW w:w="5842"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r>
              <w:rPr>
                <w:rFonts w:hint="default" w:ascii="Times New Roman" w:hAnsi="Times New Roman" w:cs="Times New Roman" w:eastAsiaTheme="minorEastAsia"/>
                <w:sz w:val="24"/>
                <w:szCs w:val="24"/>
                <w:lang w:eastAsia="zh-CN"/>
              </w:rPr>
              <w:t>公开单位</w:t>
            </w:r>
            <w:r>
              <w:rPr>
                <w:rFonts w:hint="default" w:ascii="Times New Roman" w:hAnsi="Times New Roman" w:cs="Times New Roman" w:eastAsiaTheme="minorEastAsia"/>
                <w:color w:val="000000"/>
                <w:sz w:val="24"/>
                <w:szCs w:val="24"/>
                <w:lang w:bidi="ar"/>
              </w:rPr>
              <w:t xml:space="preserve">： </w:t>
            </w:r>
            <w:r>
              <w:rPr>
                <w:rFonts w:hint="default" w:ascii="Times New Roman" w:hAnsi="Times New Roman" w:cs="Times New Roman"/>
                <w:color w:val="000000"/>
                <w:sz w:val="24"/>
                <w:u w:color="auto"/>
              </w:rPr>
              <w:t>黔江区群众诉求服务中心</w:t>
            </w: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0"/>
                <w:szCs w:val="20"/>
                <w:u w:val="none"/>
              </w:rPr>
            </w:pPr>
          </w:p>
        </w:tc>
        <w:tc>
          <w:tcPr>
            <w:tcW w:w="3602"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公开08表</w:t>
            </w:r>
          </w:p>
        </w:tc>
      </w:tr>
      <w:tr>
        <w:tblPrEx>
          <w:tblCellMar>
            <w:top w:w="0" w:type="dxa"/>
            <w:left w:w="0" w:type="dxa"/>
            <w:bottom w:w="0" w:type="dxa"/>
            <w:right w:w="0" w:type="dxa"/>
          </w:tblCellMar>
        </w:tblPrEx>
        <w:trPr>
          <w:trHeight w:val="332" w:hRule="atLeast"/>
        </w:trPr>
        <w:tc>
          <w:tcPr>
            <w:tcW w:w="5842"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Times New Roman" w:hAnsi="Times New Roman" w:eastAsia="宋体" w:cs="Times New Roman"/>
                <w:i w:val="0"/>
                <w:color w:val="000000"/>
                <w:sz w:val="22"/>
                <w:szCs w:val="22"/>
                <w:u w:val="none"/>
              </w:rPr>
            </w:pPr>
          </w:p>
        </w:tc>
        <w:tc>
          <w:tcPr>
            <w:tcW w:w="3602"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r>
              <w:rPr>
                <w:rFonts w:hint="default" w:ascii="Times New Roman" w:hAnsi="Times New Roman" w:eastAsia="宋体" w:cs="Times New Roman"/>
                <w:sz w:val="24"/>
                <w:szCs w:val="24"/>
              </w:rPr>
              <w:t>万元</w:t>
            </w:r>
          </w:p>
        </w:tc>
      </w:tr>
      <w:tr>
        <w:tblPrEx>
          <w:tblCellMar>
            <w:top w:w="0" w:type="dxa"/>
            <w:left w:w="0" w:type="dxa"/>
            <w:bottom w:w="0" w:type="dxa"/>
            <w:right w:w="0" w:type="dxa"/>
          </w:tblCellMar>
        </w:tblPrEx>
        <w:trPr>
          <w:trHeight w:val="422" w:hRule="atLeast"/>
        </w:trPr>
        <w:tc>
          <w:tcPr>
            <w:tcW w:w="5842"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w:t>
            </w:r>
          </w:p>
        </w:tc>
        <w:tc>
          <w:tcPr>
            <w:tcW w:w="1376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本年支出</w:t>
            </w:r>
          </w:p>
        </w:tc>
      </w:tr>
      <w:tr>
        <w:tblPrEx>
          <w:tblCellMar>
            <w:top w:w="0" w:type="dxa"/>
            <w:left w:w="0" w:type="dxa"/>
            <w:bottom w:w="0" w:type="dxa"/>
            <w:right w:w="0" w:type="dxa"/>
          </w:tblCellMar>
        </w:tblPrEx>
        <w:trPr>
          <w:trHeight w:val="339" w:hRule="atLeast"/>
        </w:trPr>
        <w:tc>
          <w:tcPr>
            <w:tcW w:w="14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基本支出</w:t>
            </w:r>
          </w:p>
        </w:tc>
        <w:tc>
          <w:tcPr>
            <w:tcW w:w="360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项目支出</w:t>
            </w:r>
          </w:p>
        </w:tc>
      </w:tr>
      <w:tr>
        <w:tblPrEx>
          <w:tblCellMar>
            <w:top w:w="0" w:type="dxa"/>
            <w:left w:w="0" w:type="dxa"/>
            <w:bottom w:w="0" w:type="dxa"/>
            <w:right w:w="0" w:type="dxa"/>
          </w:tblCellMar>
        </w:tblPrEx>
        <w:trPr>
          <w:trHeight w:val="339" w:hRule="atLeast"/>
        </w:trPr>
        <w:tc>
          <w:tcPr>
            <w:tcW w:w="14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60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339" w:hRule="atLeast"/>
        </w:trPr>
        <w:tc>
          <w:tcPr>
            <w:tcW w:w="14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60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312" w:hRule="atLeast"/>
        </w:trPr>
        <w:tc>
          <w:tcPr>
            <w:tcW w:w="14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360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tblCellMar>
            <w:top w:w="0" w:type="dxa"/>
            <w:left w:w="0" w:type="dxa"/>
            <w:bottom w:w="0" w:type="dxa"/>
            <w:right w:w="0" w:type="dxa"/>
          </w:tblCellMar>
        </w:tblPrEx>
        <w:trPr>
          <w:trHeight w:val="611" w:hRule="atLeast"/>
        </w:trPr>
        <w:tc>
          <w:tcPr>
            <w:tcW w:w="5842"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Times New Roman" w:hAnsi="Times New Roman" w:eastAsia="宋体" w:cs="Times New Roman"/>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b/>
                <w:i w:val="0"/>
                <w:color w:val="000000"/>
                <w:sz w:val="22"/>
                <w:szCs w:val="22"/>
                <w:u w:val="none"/>
              </w:rPr>
            </w:pP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b/>
                <w:bCs/>
                <w:color w:val="000000"/>
                <w:sz w:val="21"/>
                <w:szCs w:val="21"/>
                <w:lang w:val="en-US" w:eastAsia="zh-CN" w:bidi="ar"/>
              </w:rPr>
              <w:t xml:space="preserve"> </w:t>
            </w:r>
          </w:p>
        </w:tc>
      </w:tr>
      <w:tr>
        <w:tblPrEx>
          <w:tblCellMar>
            <w:top w:w="0" w:type="dxa"/>
            <w:left w:w="0" w:type="dxa"/>
            <w:bottom w:w="0" w:type="dxa"/>
            <w:right w:w="0" w:type="dxa"/>
          </w:tblCellMar>
        </w:tblPrEx>
        <w:trPr>
          <w:trHeight w:val="488" w:hRule="atLeast"/>
        </w:trPr>
        <w:tc>
          <w:tcPr>
            <w:tcW w:w="142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ascii="Times New Roman" w:hAnsi="Times New Roman" w:eastAsia="宋体" w:cs="Times New Roman"/>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eastAsia="宋体" w:cs="Times New Roman"/>
                <w:b/>
                <w:i w:val="0"/>
                <w:color w:val="000000"/>
                <w:sz w:val="22"/>
                <w:szCs w:val="22"/>
                <w:u w:val="none"/>
              </w:rPr>
            </w:pP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eastAsia="宋体" w:cs="Times New Roman"/>
                <w:b/>
                <w:i w:val="0"/>
                <w:color w:val="000000"/>
                <w:sz w:val="22"/>
                <w:szCs w:val="22"/>
                <w:u w:val="none"/>
                <w:lang w:val="en-US" w:eastAsia="zh-CN"/>
              </w:rPr>
            </w:pPr>
            <w:r>
              <w:rPr>
                <w:rFonts w:hint="default" w:ascii="Times New Roman" w:hAnsi="Times New Roman" w:cs="Times New Roman"/>
                <w:color w:val="000000"/>
                <w:sz w:val="21"/>
                <w:szCs w:val="21"/>
                <w:lang w:val="en-US" w:eastAsia="zh-CN" w:bidi="ar"/>
              </w:rPr>
              <w:t xml:space="preserve"> </w:t>
            </w:r>
          </w:p>
        </w:tc>
      </w:tr>
    </w:tbl>
    <w:p>
      <w:pP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numPr>
          <w:ilvl w:val="0"/>
          <w:numId w:val="0"/>
        </w:num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tblPrEx>
          <w:shd w:val="clear" w:color="auto" w:fill="auto"/>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tblPrEx>
          <w:shd w:val="clear" w:color="auto" w:fill="auto"/>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黔江区群众诉求服务中心</w:t>
            </w: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0.72</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0.98</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bl>
    <w:p>
      <w:pPr>
        <w:rPr>
          <w:rFonts w:hint="default" w:ascii="Times New Roman" w:hAnsi="Times New Roman" w:eastAsia="宋体" w:cs="Times New Roman"/>
          <w:sz w:val="21"/>
          <w:szCs w:val="21"/>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rPr>
          <w:rFonts w:hint="default" w:ascii="Times New Roman" w:hAnsi="Times New Roman" w:eastAsia="宋体" w:cs="Times New Roman"/>
          <w:color w:val="000000"/>
          <w:sz w:val="21"/>
          <w:szCs w:val="21"/>
          <w:lang w:bidi="ar"/>
        </w:rPr>
      </w:pPr>
    </w:p>
    <w:p>
      <w:pPr>
        <w:rPr>
          <w:rFonts w:hint="default" w:ascii="Times New Roman" w:hAnsi="Times New Roman" w:eastAsia="宋体" w:cs="Times New Roman"/>
          <w:color w:val="000000"/>
          <w:sz w:val="21"/>
          <w:szCs w:val="21"/>
          <w:lang w:bidi="ar"/>
        </w:rPr>
      </w:pPr>
    </w:p>
    <w:p>
      <w:pPr>
        <w:rPr>
          <w:rFonts w:hint="default" w:ascii="Times New Roman" w:hAnsi="Times New Roman" w:eastAsia="宋体" w:cs="Times New Roman"/>
          <w:color w:val="000000"/>
          <w:sz w:val="21"/>
          <w:szCs w:val="21"/>
          <w:lang w:bidi="ar"/>
        </w:rPr>
      </w:pPr>
    </w:p>
    <w:p>
      <w:pPr>
        <w:rPr>
          <w:rFonts w:hint="default" w:ascii="Times New Roman" w:hAnsi="Times New Roman" w:eastAsia="宋体" w:cs="Times New Roman"/>
          <w:color w:val="000000"/>
          <w:sz w:val="21"/>
          <w:szCs w:val="21"/>
          <w:lang w:bidi="ar"/>
        </w:rPr>
      </w:pPr>
    </w:p>
    <w:p>
      <w:pPr>
        <w:rPr>
          <w:rFonts w:hint="default" w:ascii="Times New Roman" w:hAnsi="Times New Roman" w:eastAsia="宋体" w:cs="Times New Roman"/>
          <w:color w:val="000000"/>
          <w:sz w:val="21"/>
          <w:szCs w:val="21"/>
          <w:lang w:bidi="ar"/>
        </w:rPr>
      </w:pPr>
    </w:p>
    <w:p>
      <w:pPr>
        <w:rPr>
          <w:rFonts w:hint="default" w:ascii="Times New Roman" w:hAnsi="Times New Roman" w:eastAsia="宋体" w:cs="Times New Roman"/>
          <w:color w:val="000000"/>
          <w:sz w:val="21"/>
          <w:szCs w:val="21"/>
          <w:lang w:bidi="ar"/>
        </w:rPr>
      </w:pPr>
    </w:p>
    <w:p>
      <w:pPr>
        <w:rPr>
          <w:rFonts w:hint="default" w:ascii="Times New Roman" w:hAnsi="Times New Roman" w:eastAsia="宋体" w:cs="Times New Roman"/>
          <w:color w:val="000000"/>
          <w:sz w:val="21"/>
          <w:szCs w:val="21"/>
          <w:lang w:bidi="ar"/>
        </w:rPr>
      </w:pPr>
    </w:p>
    <w:p>
      <w:pPr>
        <w:rPr>
          <w:rFonts w:hint="default" w:ascii="Times New Roman" w:hAnsi="Times New Roman" w:eastAsia="宋体" w:cs="Times New Roman"/>
          <w:color w:val="000000"/>
          <w:sz w:val="21"/>
          <w:szCs w:val="21"/>
          <w:lang w:bidi="ar"/>
        </w:rPr>
      </w:pPr>
    </w:p>
    <w:p>
      <w:pPr>
        <w:rPr>
          <w:rFonts w:hint="default" w:ascii="Times New Roman" w:hAnsi="Times New Roman" w:eastAsia="宋体" w:cs="Times New Roman"/>
          <w:color w:val="000000"/>
          <w:sz w:val="21"/>
          <w:szCs w:val="21"/>
          <w:lang w:bidi="ar"/>
        </w:rPr>
      </w:pPr>
    </w:p>
    <w:p>
      <w:pPr>
        <w:pStyle w:val="11"/>
        <w:autoSpaceDE w:val="0"/>
        <w:ind w:firstLine="0" w:firstLineChars="0"/>
        <w:rPr>
          <w:rFonts w:hint="default" w:ascii="Times New Roman" w:hAnsi="Times New Roman" w:eastAsia="宋体" w:cs="Times New Roman"/>
          <w:sz w:val="21"/>
          <w:szCs w:val="21"/>
        </w:rPr>
      </w:pPr>
    </w:p>
    <w:sectPr>
      <w:headerReference r:id="rId4" w:type="default"/>
      <w:footerReference r:id="rId5" w:type="default"/>
      <w:pgSz w:w="23811" w:h="16838" w:orient="landscape"/>
      <w:pgMar w:top="567" w:right="454" w:bottom="567" w:left="1037" w:header="0" w:footer="283"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74EBF"/>
    <w:rsid w:val="01F3521E"/>
    <w:rsid w:val="03B87EA0"/>
    <w:rsid w:val="03E3214F"/>
    <w:rsid w:val="044C50BA"/>
    <w:rsid w:val="05BC6D49"/>
    <w:rsid w:val="06145B64"/>
    <w:rsid w:val="06194FF1"/>
    <w:rsid w:val="06A2550B"/>
    <w:rsid w:val="06F80EE2"/>
    <w:rsid w:val="07001CCA"/>
    <w:rsid w:val="075678DB"/>
    <w:rsid w:val="079D7CC7"/>
    <w:rsid w:val="08051BCA"/>
    <w:rsid w:val="0849572C"/>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A200D2"/>
    <w:rsid w:val="12C921C4"/>
    <w:rsid w:val="13871C70"/>
    <w:rsid w:val="13A71CB4"/>
    <w:rsid w:val="13AF1D43"/>
    <w:rsid w:val="13CE1647"/>
    <w:rsid w:val="13FD55AB"/>
    <w:rsid w:val="14200702"/>
    <w:rsid w:val="15100497"/>
    <w:rsid w:val="154D433D"/>
    <w:rsid w:val="163A6CEE"/>
    <w:rsid w:val="173708E3"/>
    <w:rsid w:val="17C374FC"/>
    <w:rsid w:val="184E0FA9"/>
    <w:rsid w:val="189079DC"/>
    <w:rsid w:val="189B0D0B"/>
    <w:rsid w:val="18B43F7C"/>
    <w:rsid w:val="18D13745"/>
    <w:rsid w:val="194A1770"/>
    <w:rsid w:val="19B906A4"/>
    <w:rsid w:val="1A6253DE"/>
    <w:rsid w:val="1B6F15B6"/>
    <w:rsid w:val="1BAA2EDC"/>
    <w:rsid w:val="1C912CF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9E66CC"/>
    <w:rsid w:val="1FBB35CD"/>
    <w:rsid w:val="1FCD26AF"/>
    <w:rsid w:val="20642787"/>
    <w:rsid w:val="21556F04"/>
    <w:rsid w:val="22403BD3"/>
    <w:rsid w:val="236628B9"/>
    <w:rsid w:val="24B92327"/>
    <w:rsid w:val="24C14514"/>
    <w:rsid w:val="2533755C"/>
    <w:rsid w:val="25791755"/>
    <w:rsid w:val="26396DF4"/>
    <w:rsid w:val="265C2D3C"/>
    <w:rsid w:val="27167136"/>
    <w:rsid w:val="27B23302"/>
    <w:rsid w:val="29310A5F"/>
    <w:rsid w:val="29C37A35"/>
    <w:rsid w:val="2A076083"/>
    <w:rsid w:val="2A73162E"/>
    <w:rsid w:val="2AC53A02"/>
    <w:rsid w:val="2B167953"/>
    <w:rsid w:val="2B200583"/>
    <w:rsid w:val="2B8209DE"/>
    <w:rsid w:val="2C384859"/>
    <w:rsid w:val="2C6762A3"/>
    <w:rsid w:val="2CAB4861"/>
    <w:rsid w:val="2D5F583A"/>
    <w:rsid w:val="2FCA4B37"/>
    <w:rsid w:val="2FE029D7"/>
    <w:rsid w:val="2FF06E00"/>
    <w:rsid w:val="30586FEC"/>
    <w:rsid w:val="315F0B22"/>
    <w:rsid w:val="31D84415"/>
    <w:rsid w:val="32285F6F"/>
    <w:rsid w:val="32770556"/>
    <w:rsid w:val="329C0913"/>
    <w:rsid w:val="32AA0460"/>
    <w:rsid w:val="3337290D"/>
    <w:rsid w:val="33E31118"/>
    <w:rsid w:val="33EF7674"/>
    <w:rsid w:val="342D7BC6"/>
    <w:rsid w:val="3440090A"/>
    <w:rsid w:val="352930DB"/>
    <w:rsid w:val="35573069"/>
    <w:rsid w:val="355F6038"/>
    <w:rsid w:val="358C217E"/>
    <w:rsid w:val="36C9128A"/>
    <w:rsid w:val="37841E99"/>
    <w:rsid w:val="37BF1123"/>
    <w:rsid w:val="383C3F15"/>
    <w:rsid w:val="38BE4696"/>
    <w:rsid w:val="3939115E"/>
    <w:rsid w:val="398B7014"/>
    <w:rsid w:val="39B82A39"/>
    <w:rsid w:val="39B83EF6"/>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530930"/>
    <w:rsid w:val="41E0734B"/>
    <w:rsid w:val="426C1EA8"/>
    <w:rsid w:val="42736402"/>
    <w:rsid w:val="42E86A87"/>
    <w:rsid w:val="43307B09"/>
    <w:rsid w:val="438C4686"/>
    <w:rsid w:val="439A3EB9"/>
    <w:rsid w:val="43BB152F"/>
    <w:rsid w:val="44C37687"/>
    <w:rsid w:val="45CB699A"/>
    <w:rsid w:val="465B470D"/>
    <w:rsid w:val="469D6AD4"/>
    <w:rsid w:val="471E6C84"/>
    <w:rsid w:val="4748792B"/>
    <w:rsid w:val="475D719D"/>
    <w:rsid w:val="47674801"/>
    <w:rsid w:val="48225EF7"/>
    <w:rsid w:val="487A2387"/>
    <w:rsid w:val="488F422B"/>
    <w:rsid w:val="48E36915"/>
    <w:rsid w:val="495C4A24"/>
    <w:rsid w:val="497135DF"/>
    <w:rsid w:val="4A263DF2"/>
    <w:rsid w:val="4A6F6675"/>
    <w:rsid w:val="4B135857"/>
    <w:rsid w:val="4B7951CB"/>
    <w:rsid w:val="4B7C315C"/>
    <w:rsid w:val="4BF61499"/>
    <w:rsid w:val="4CCB794E"/>
    <w:rsid w:val="4DAC4ACA"/>
    <w:rsid w:val="4DBE01D2"/>
    <w:rsid w:val="4F0C6BA3"/>
    <w:rsid w:val="4F186D58"/>
    <w:rsid w:val="50F06B6E"/>
    <w:rsid w:val="51D21804"/>
    <w:rsid w:val="52234D33"/>
    <w:rsid w:val="522F6E0C"/>
    <w:rsid w:val="52463BA1"/>
    <w:rsid w:val="52DD4E28"/>
    <w:rsid w:val="52F163D4"/>
    <w:rsid w:val="531A2DB4"/>
    <w:rsid w:val="53C0244D"/>
    <w:rsid w:val="53DD4D4E"/>
    <w:rsid w:val="53E578CE"/>
    <w:rsid w:val="541330F0"/>
    <w:rsid w:val="54272666"/>
    <w:rsid w:val="543B029D"/>
    <w:rsid w:val="54861779"/>
    <w:rsid w:val="552256E1"/>
    <w:rsid w:val="554E5773"/>
    <w:rsid w:val="555A3CBC"/>
    <w:rsid w:val="5582012B"/>
    <w:rsid w:val="558E4E05"/>
    <w:rsid w:val="55AE4859"/>
    <w:rsid w:val="55BE2E85"/>
    <w:rsid w:val="56530F5D"/>
    <w:rsid w:val="5660353E"/>
    <w:rsid w:val="567700D3"/>
    <w:rsid w:val="56C854A7"/>
    <w:rsid w:val="56FF7E9E"/>
    <w:rsid w:val="57671164"/>
    <w:rsid w:val="578867FC"/>
    <w:rsid w:val="5842572D"/>
    <w:rsid w:val="589F3AD4"/>
    <w:rsid w:val="5A3B59D6"/>
    <w:rsid w:val="5AD134D8"/>
    <w:rsid w:val="5C263CE4"/>
    <w:rsid w:val="5C5D2777"/>
    <w:rsid w:val="5CF66BF3"/>
    <w:rsid w:val="5D290C69"/>
    <w:rsid w:val="5E973B2A"/>
    <w:rsid w:val="5F2D4A41"/>
    <w:rsid w:val="5F4C0C3F"/>
    <w:rsid w:val="60453420"/>
    <w:rsid w:val="6056529D"/>
    <w:rsid w:val="60C74F6C"/>
    <w:rsid w:val="60FE00E1"/>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B474EF5"/>
    <w:rsid w:val="6C560CAE"/>
    <w:rsid w:val="6C576495"/>
    <w:rsid w:val="6D903FF5"/>
    <w:rsid w:val="6DA955B8"/>
    <w:rsid w:val="6DD30EA9"/>
    <w:rsid w:val="6DE346AB"/>
    <w:rsid w:val="6DE5391A"/>
    <w:rsid w:val="6E296E91"/>
    <w:rsid w:val="6EFD1324"/>
    <w:rsid w:val="6F5A53AC"/>
    <w:rsid w:val="6FAC003D"/>
    <w:rsid w:val="6FE55E12"/>
    <w:rsid w:val="6FFB2E76"/>
    <w:rsid w:val="70107098"/>
    <w:rsid w:val="708F6F7F"/>
    <w:rsid w:val="70D94BD3"/>
    <w:rsid w:val="71C34D91"/>
    <w:rsid w:val="72DB435C"/>
    <w:rsid w:val="72E2613A"/>
    <w:rsid w:val="72F771F4"/>
    <w:rsid w:val="73934AD2"/>
    <w:rsid w:val="73A03DC2"/>
    <w:rsid w:val="750837F0"/>
    <w:rsid w:val="754758CF"/>
    <w:rsid w:val="75920D0E"/>
    <w:rsid w:val="764F62AB"/>
    <w:rsid w:val="765C45EC"/>
    <w:rsid w:val="768A7619"/>
    <w:rsid w:val="772E1EBA"/>
    <w:rsid w:val="780659D7"/>
    <w:rsid w:val="781926BC"/>
    <w:rsid w:val="796D60A4"/>
    <w:rsid w:val="79A031D5"/>
    <w:rsid w:val="7A1525F7"/>
    <w:rsid w:val="7B420052"/>
    <w:rsid w:val="7BD06A28"/>
    <w:rsid w:val="7C3A7C0B"/>
    <w:rsid w:val="7C5248E4"/>
    <w:rsid w:val="7C566698"/>
    <w:rsid w:val="7C5866A3"/>
    <w:rsid w:val="7D7406BB"/>
    <w:rsid w:val="7DE94331"/>
    <w:rsid w:val="7E027190"/>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2"/>
    <w:basedOn w:val="1"/>
    <w:unhideWhenUsed/>
    <w:qFormat/>
    <w:uiPriority w:val="0"/>
    <w:pPr>
      <w:spacing w:after="120" w:line="480" w:lineRule="auto"/>
    </w:p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List Paragraph"/>
    <w:qFormat/>
    <w:uiPriority w:val="99"/>
    <w:pPr>
      <w:ind w:firstLine="420" w:firstLineChars="200"/>
    </w:pPr>
    <w:rPr>
      <w:rFonts w:hint="default" w:ascii="宋体" w:hAnsi="宋体" w:eastAsia="宋体" w:cs="Times New Roman"/>
      <w:sz w:val="24"/>
      <w:szCs w:val="24"/>
      <w:lang w:val="en-US" w:eastAsia="zh-CN" w:bidi="ar-SA"/>
    </w:rPr>
  </w:style>
  <w:style w:type="paragraph" w:customStyle="1" w:styleId="15">
    <w:name w:val="Default"/>
    <w:next w:val="1"/>
    <w:qFormat/>
    <w:uiPriority w:val="0"/>
    <w:pPr>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7669</Words>
  <Characters>9194</Characters>
  <Lines>161</Lines>
  <Paragraphs>45</Paragraphs>
  <TotalTime>6</TotalTime>
  <ScaleCrop>false</ScaleCrop>
  <LinksUpToDate>false</LinksUpToDate>
  <CharactersWithSpaces>10186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dcterms:modified xsi:type="dcterms:W3CDTF">2025-09-16T05:47:57Z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7E41A94778C84255A4BD3283F2C2F732_13</vt:lpwstr>
  </property>
  <property fmtid="{D5CDD505-2E9C-101B-9397-08002B2CF9AE}" pid="4" name="KSOTemplateDocerSaveRecord">
    <vt:lpwstr>eyJoZGlkIjoiMjAzYjZiNWNkYzc5MTA3M2ZjYzg2NzUwZjVkYTM3YmYiLCJ1c2VySWQiOiIxMTI4NjY2ODk1In0=</vt:lpwstr>
  </property>
</Properties>
</file>