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Times New Roman" w:hAnsi="Times New Roman" w:eastAsia="方正小标宋_GBK" w:cs="Times New Roman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Times New Roman" w:hAnsi="Times New Roman" w:eastAsia="方正小标宋_GBK" w:cs="Times New Roman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201</w:t>
      </w:r>
      <w:r>
        <w:rPr>
          <w:rFonts w:hint="eastAsia" w:ascii="Times New Roman" w:hAnsi="Times New Roman" w:eastAsia="方正小标宋_GBK" w:cs="Times New Roman"/>
          <w:sz w:val="44"/>
          <w:szCs w:val="44"/>
        </w:rPr>
        <w:t>8</w:t>
      </w:r>
      <w:r>
        <w:rPr>
          <w:rFonts w:ascii="Times New Roman" w:hAnsi="Times New Roman" w:eastAsia="方正小标宋_GBK" w:cs="Times New Roman"/>
          <w:sz w:val="44"/>
          <w:szCs w:val="44"/>
        </w:rPr>
        <w:t>年黔江区国民经济和社会发展统计公报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黔江区统计局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201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9</w:t>
      </w:r>
      <w:r>
        <w:rPr>
          <w:rFonts w:ascii="Times New Roman" w:hAnsi="Times New Roman" w:eastAsia="方正仿宋_GBK" w:cs="Times New Roman"/>
          <w:sz w:val="32"/>
          <w:szCs w:val="32"/>
        </w:rPr>
        <w:t>年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4</w:t>
      </w:r>
      <w:r>
        <w:rPr>
          <w:rFonts w:ascii="Times New Roman" w:hAnsi="Times New Roman" w:eastAsia="方正仿宋_GBK" w:cs="Times New Roman"/>
          <w:sz w:val="32"/>
          <w:szCs w:val="32"/>
        </w:rPr>
        <w:t>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2018年，全区上下坚持以习近平新时代中国特色社会主义思想为指导，全面贯彻党的十九大和十九届二中、三中全会精神，紧紧围绕习近平总书记对重庆提出的“两点”定位、“两地”“两高”目标和营造良好政治生态、做到“四个扎实”的重要指示要求，坚持稳中求进工作总基调，深入贯彻新发展理念，落实高质量发展要求，坚决打好“三大攻坚战”和实施“八项行动计划”，着力推进“工业强区、旅游大区、城市靓区”三大建设，统筹推进稳增长、促改革、调结构、惠民生、防风险工作，保持了经济持续健康发展和社会大局稳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方正黑体_GBK" w:cs="Times New Roman"/>
          <w:sz w:val="32"/>
          <w:szCs w:val="32"/>
        </w:rPr>
      </w:pPr>
      <w:r>
        <w:rPr>
          <w:rFonts w:ascii="Times New Roman" w:hAnsi="Times New Roman" w:eastAsia="方正黑体_GBK" w:cs="Times New Roman"/>
          <w:sz w:val="32"/>
          <w:szCs w:val="32"/>
        </w:rPr>
        <w:t>一、综合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方正黑体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初步核算，全年地区生产总值2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47.29</w:t>
      </w:r>
      <w:r>
        <w:rPr>
          <w:rFonts w:ascii="Times New Roman" w:hAnsi="Times New Roman" w:eastAsia="方正仿宋_GBK" w:cs="Times New Roman"/>
          <w:sz w:val="32"/>
          <w:szCs w:val="32"/>
        </w:rPr>
        <w:t>亿元，比上年增长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7.4</w:t>
      </w:r>
      <w:r>
        <w:rPr>
          <w:rFonts w:ascii="Times New Roman" w:hAnsi="Times New Roman" w:eastAsia="方正仿宋_GBK" w:cs="Times New Roman"/>
          <w:sz w:val="32"/>
          <w:szCs w:val="32"/>
        </w:rPr>
        <w:t>%。分产业看，第一产业增加值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23.38</w:t>
      </w:r>
      <w:r>
        <w:rPr>
          <w:rFonts w:ascii="Times New Roman" w:hAnsi="Times New Roman" w:eastAsia="方正仿宋_GBK" w:cs="Times New Roman"/>
          <w:sz w:val="32"/>
          <w:szCs w:val="32"/>
        </w:rPr>
        <w:t>亿元，增长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5.1</w:t>
      </w:r>
      <w:r>
        <w:rPr>
          <w:rFonts w:ascii="Times New Roman" w:hAnsi="Times New Roman" w:eastAsia="方正仿宋_GBK" w:cs="Times New Roman"/>
          <w:sz w:val="32"/>
          <w:szCs w:val="32"/>
        </w:rPr>
        <w:t>%；第二产业增加值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108.87</w:t>
      </w:r>
      <w:r>
        <w:rPr>
          <w:rFonts w:ascii="Times New Roman" w:hAnsi="Times New Roman" w:eastAsia="方正仿宋_GBK" w:cs="Times New Roman"/>
          <w:sz w:val="32"/>
          <w:szCs w:val="32"/>
        </w:rPr>
        <w:t>亿元，增长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8.1</w:t>
      </w:r>
      <w:r>
        <w:rPr>
          <w:rFonts w:ascii="Times New Roman" w:hAnsi="Times New Roman" w:eastAsia="方正仿宋_GBK" w:cs="Times New Roman"/>
          <w:sz w:val="32"/>
          <w:szCs w:val="32"/>
        </w:rPr>
        <w:t>%；第三产业增加值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115.04</w:t>
      </w:r>
      <w:r>
        <w:rPr>
          <w:rFonts w:ascii="Times New Roman" w:hAnsi="Times New Roman" w:eastAsia="方正仿宋_GBK" w:cs="Times New Roman"/>
          <w:sz w:val="32"/>
          <w:szCs w:val="32"/>
        </w:rPr>
        <w:t>亿元，增长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7.3</w:t>
      </w:r>
      <w:r>
        <w:rPr>
          <w:rFonts w:ascii="Times New Roman" w:hAnsi="Times New Roman" w:eastAsia="方正仿宋_GBK" w:cs="Times New Roman"/>
          <w:sz w:val="32"/>
          <w:szCs w:val="32"/>
        </w:rPr>
        <w:t>%。三次产业结构比为：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9.5:44:46.5</w:t>
      </w:r>
      <w:r>
        <w:rPr>
          <w:rFonts w:ascii="Times New Roman" w:hAnsi="Times New Roman" w:eastAsia="方正仿宋_GBK" w:cs="Times New Roman"/>
          <w:sz w:val="32"/>
          <w:szCs w:val="32"/>
        </w:rPr>
        <w:t>。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民营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经济实现增加值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110.47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亿元，增长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3.0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%，占全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区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经济的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44.7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%。按常住人口计算，全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区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人均地区生产总值达到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51439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元，比上年增长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5.4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%。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center"/>
        <w:textAlignment w:val="auto"/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</w:rPr>
        <w:t xml:space="preserve">图 </w:t>
      </w:r>
      <w:r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</w:rPr>
        <w:fldChar w:fldCharType="begin"/>
      </w:r>
      <w:r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</w:rPr>
        <w:instrText xml:space="preserve"> SEQ 图 \* ARABIC </w:instrText>
      </w:r>
      <w:r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</w:rPr>
        <w:fldChar w:fldCharType="separate"/>
      </w:r>
      <w:r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</w:rPr>
        <w:t>1</w:t>
      </w:r>
      <w:r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</w:rPr>
        <w:fldChar w:fldCharType="end"/>
      </w:r>
      <w:r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</w:rPr>
        <w:t xml:space="preserve">  2018年按产业分地区生产总值及其占比</w:t>
      </w:r>
    </w:p>
    <w:p>
      <w:pPr>
        <w:ind w:firstLine="420" w:firstLineChars="200"/>
        <w:jc w:val="center"/>
      </w:pPr>
      <w:r>
        <w:drawing>
          <wp:inline distT="0" distB="0" distL="114300" distR="114300">
            <wp:extent cx="4543425" cy="2134870"/>
            <wp:effectExtent l="4445" t="4445" r="5080" b="13335"/>
            <wp:docPr id="4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年末户籍人口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55.66</w:t>
      </w:r>
      <w:r>
        <w:rPr>
          <w:rFonts w:ascii="Times New Roman" w:hAnsi="Times New Roman" w:eastAsia="方正仿宋_GBK" w:cs="Times New Roman"/>
          <w:sz w:val="32"/>
          <w:szCs w:val="32"/>
        </w:rPr>
        <w:t>万人。其中，城镇人口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23.47</w:t>
      </w:r>
      <w:r>
        <w:rPr>
          <w:rFonts w:ascii="Times New Roman" w:hAnsi="Times New Roman" w:eastAsia="方正仿宋_GBK" w:cs="Times New Roman"/>
          <w:sz w:val="32"/>
          <w:szCs w:val="32"/>
        </w:rPr>
        <w:t>万人，乡村人口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32.19</w:t>
      </w:r>
      <w:r>
        <w:rPr>
          <w:rFonts w:ascii="Times New Roman" w:hAnsi="Times New Roman" w:eastAsia="方正仿宋_GBK" w:cs="Times New Roman"/>
          <w:sz w:val="32"/>
          <w:szCs w:val="32"/>
        </w:rPr>
        <w:t>万人。全年迁出人口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0.53</w:t>
      </w:r>
      <w:r>
        <w:rPr>
          <w:rFonts w:ascii="Times New Roman" w:hAnsi="Times New Roman" w:eastAsia="方正仿宋_GBK" w:cs="Times New Roman"/>
          <w:sz w:val="32"/>
          <w:szCs w:val="32"/>
        </w:rPr>
        <w:t>万人，迁入人口0.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4</w:t>
      </w:r>
      <w:r>
        <w:rPr>
          <w:rFonts w:ascii="Times New Roman" w:hAnsi="Times New Roman" w:eastAsia="方正仿宋_GBK" w:cs="Times New Roman"/>
          <w:sz w:val="32"/>
          <w:szCs w:val="32"/>
        </w:rPr>
        <w:t>万人。</w:t>
      </w:r>
    </w:p>
    <w:p>
      <w:pPr>
        <w:spacing w:line="580" w:lineRule="exact"/>
        <w:jc w:val="center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表1  2018年年末户籍人口数及其构成</w:t>
      </w:r>
    </w:p>
    <w:tbl>
      <w:tblPr>
        <w:tblStyle w:val="8"/>
        <w:tblW w:w="6920" w:type="dxa"/>
        <w:jc w:val="center"/>
        <w:tblInd w:w="-31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9"/>
        <w:gridCol w:w="2676"/>
        <w:gridCol w:w="220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0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hAnsi="宋体" w:eastAsia="宋体" w:cs="Times New Roman"/>
                <w:b/>
                <w:color w:val="000000"/>
                <w:kern w:val="0"/>
                <w:sz w:val="22"/>
              </w:rPr>
              <w:t>指标</w:t>
            </w:r>
          </w:p>
        </w:tc>
        <w:tc>
          <w:tcPr>
            <w:tcW w:w="26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hAnsi="宋体" w:eastAsia="宋体" w:cs="Times New Roman"/>
                <w:b/>
                <w:color w:val="000000"/>
                <w:kern w:val="0"/>
                <w:sz w:val="22"/>
              </w:rPr>
              <w:t>年末数（万人）</w:t>
            </w:r>
          </w:p>
        </w:tc>
        <w:tc>
          <w:tcPr>
            <w:tcW w:w="22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hAnsi="宋体" w:eastAsia="宋体" w:cs="Times New Roman"/>
                <w:b/>
                <w:color w:val="000000"/>
                <w:kern w:val="0"/>
                <w:sz w:val="22"/>
              </w:rPr>
              <w:t>比重（</w:t>
            </w: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</w:rPr>
              <w:t>%</w:t>
            </w:r>
            <w:r>
              <w:rPr>
                <w:rFonts w:ascii="Times New Roman" w:hAnsi="宋体" w:eastAsia="宋体" w:cs="Times New Roman"/>
                <w:b/>
                <w:color w:val="000000"/>
                <w:kern w:val="0"/>
                <w:sz w:val="22"/>
              </w:rPr>
              <w:t>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03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宋体" w:eastAsia="宋体" w:cs="Times New Roman"/>
                <w:color w:val="000000"/>
                <w:kern w:val="0"/>
                <w:sz w:val="22"/>
              </w:rPr>
              <w:t>户籍总人口</w:t>
            </w:r>
          </w:p>
        </w:tc>
        <w:tc>
          <w:tcPr>
            <w:tcW w:w="267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55.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66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220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100.0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03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宋体" w:eastAsia="宋体" w:cs="Times New Roman"/>
                <w:color w:val="000000"/>
                <w:kern w:val="0"/>
                <w:sz w:val="22"/>
              </w:rPr>
              <w:t>按城乡分：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2676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03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宋体" w:eastAsia="宋体" w:cs="Times New Roman"/>
                <w:color w:val="000000"/>
                <w:kern w:val="0"/>
                <w:sz w:val="22"/>
              </w:rPr>
              <w:t>城镇</w:t>
            </w:r>
          </w:p>
        </w:tc>
        <w:tc>
          <w:tcPr>
            <w:tcW w:w="2676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23.47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42.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03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宋体" w:eastAsia="宋体" w:cs="Times New Roman"/>
                <w:color w:val="000000"/>
                <w:kern w:val="0"/>
                <w:sz w:val="22"/>
              </w:rPr>
              <w:t>乡村</w:t>
            </w:r>
          </w:p>
        </w:tc>
        <w:tc>
          <w:tcPr>
            <w:tcW w:w="2676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32.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9 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57.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8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03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宋体" w:eastAsia="宋体" w:cs="Times New Roman"/>
                <w:color w:val="000000"/>
                <w:kern w:val="0"/>
                <w:sz w:val="22"/>
              </w:rPr>
              <w:t>按男女分：</w:t>
            </w:r>
          </w:p>
        </w:tc>
        <w:tc>
          <w:tcPr>
            <w:tcW w:w="2676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03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宋体" w:eastAsia="宋体" w:cs="Times New Roman"/>
                <w:color w:val="000000"/>
                <w:kern w:val="0"/>
                <w:sz w:val="22"/>
              </w:rPr>
              <w:t>男</w:t>
            </w:r>
          </w:p>
        </w:tc>
        <w:tc>
          <w:tcPr>
            <w:tcW w:w="2676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29.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52.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7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03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宋体" w:eastAsia="宋体" w:cs="Times New Roman"/>
                <w:color w:val="000000"/>
                <w:kern w:val="0"/>
                <w:sz w:val="22"/>
              </w:rPr>
              <w:t>女</w:t>
            </w:r>
          </w:p>
        </w:tc>
        <w:tc>
          <w:tcPr>
            <w:tcW w:w="2676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26.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33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47.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3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03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宋体" w:eastAsia="宋体" w:cs="Times New Roman"/>
                <w:color w:val="000000"/>
                <w:kern w:val="0"/>
                <w:sz w:val="22"/>
              </w:rPr>
              <w:t>按年龄分：</w:t>
            </w:r>
          </w:p>
        </w:tc>
        <w:tc>
          <w:tcPr>
            <w:tcW w:w="2676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03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0-17</w:t>
            </w:r>
            <w:r>
              <w:rPr>
                <w:rFonts w:ascii="Times New Roman" w:hAnsi="宋体" w:eastAsia="宋体" w:cs="Times New Roman"/>
                <w:color w:val="000000"/>
                <w:kern w:val="0"/>
                <w:sz w:val="22"/>
              </w:rPr>
              <w:t>岁</w:t>
            </w:r>
          </w:p>
        </w:tc>
        <w:tc>
          <w:tcPr>
            <w:tcW w:w="2676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12.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25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22.0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03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18-34</w:t>
            </w:r>
            <w:r>
              <w:rPr>
                <w:rFonts w:ascii="Times New Roman" w:hAnsi="宋体" w:eastAsia="宋体" w:cs="Times New Roman"/>
                <w:color w:val="000000"/>
                <w:kern w:val="0"/>
                <w:sz w:val="22"/>
              </w:rPr>
              <w:t>岁</w:t>
            </w:r>
          </w:p>
        </w:tc>
        <w:tc>
          <w:tcPr>
            <w:tcW w:w="2676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14.26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25.6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03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35-59</w:t>
            </w:r>
            <w:r>
              <w:rPr>
                <w:rFonts w:ascii="Times New Roman" w:hAnsi="宋体" w:eastAsia="宋体" w:cs="Times New Roman"/>
                <w:color w:val="000000"/>
                <w:kern w:val="0"/>
                <w:sz w:val="22"/>
              </w:rPr>
              <w:t>岁</w:t>
            </w:r>
          </w:p>
        </w:tc>
        <w:tc>
          <w:tcPr>
            <w:tcW w:w="2676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19.96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35.9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0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   60</w:t>
            </w:r>
            <w:r>
              <w:rPr>
                <w:rFonts w:ascii="Times New Roman" w:hAnsi="宋体" w:eastAsia="宋体" w:cs="Times New Roman"/>
                <w:color w:val="000000"/>
                <w:kern w:val="0"/>
                <w:sz w:val="22"/>
              </w:rPr>
              <w:t>岁及以上</w:t>
            </w:r>
          </w:p>
        </w:tc>
        <w:tc>
          <w:tcPr>
            <w:tcW w:w="26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9.19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220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16.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年末常住人口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48.39</w:t>
      </w:r>
      <w:r>
        <w:rPr>
          <w:rFonts w:ascii="Times New Roman" w:hAnsi="Times New Roman" w:eastAsia="方正仿宋_GBK" w:cs="Times New Roman"/>
          <w:sz w:val="32"/>
          <w:szCs w:val="32"/>
        </w:rPr>
        <w:t>万人，比上年增加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0.63</w:t>
      </w:r>
      <w:r>
        <w:rPr>
          <w:rFonts w:ascii="Times New Roman" w:hAnsi="Times New Roman" w:eastAsia="方正仿宋_GBK" w:cs="Times New Roman"/>
          <w:sz w:val="32"/>
          <w:szCs w:val="32"/>
        </w:rPr>
        <w:t>万人，其中城镇常住人口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24.52</w:t>
      </w:r>
      <w:r>
        <w:rPr>
          <w:rFonts w:ascii="Times New Roman" w:hAnsi="Times New Roman" w:eastAsia="方正仿宋_GBK" w:cs="Times New Roman"/>
          <w:sz w:val="32"/>
          <w:szCs w:val="32"/>
        </w:rPr>
        <w:t>万人。常住人口城镇化率（城镇常住人口占总常住人口比重）为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50.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7</w:t>
      </w:r>
      <w:r>
        <w:rPr>
          <w:rFonts w:ascii="Times New Roman" w:hAnsi="Times New Roman" w:eastAsia="方正仿宋_GBK" w:cs="Times New Roman"/>
          <w:sz w:val="32"/>
          <w:szCs w:val="32"/>
        </w:rPr>
        <w:t>%，比上年提高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1.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57</w:t>
      </w:r>
      <w:r>
        <w:rPr>
          <w:rFonts w:ascii="Times New Roman" w:hAnsi="Times New Roman" w:eastAsia="方正仿宋_GBK" w:cs="Times New Roman"/>
          <w:sz w:val="32"/>
          <w:szCs w:val="32"/>
        </w:rPr>
        <w:t>个百分点。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全年城镇新增就业人员2.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53</w:t>
      </w:r>
      <w:r>
        <w:rPr>
          <w:rFonts w:ascii="Times New Roman" w:hAnsi="Times New Roman" w:eastAsia="方正仿宋_GBK" w:cs="Times New Roman"/>
          <w:sz w:val="32"/>
          <w:szCs w:val="32"/>
        </w:rPr>
        <w:t>万人，比上年增加0.2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7</w:t>
      </w:r>
      <w:r>
        <w:rPr>
          <w:rFonts w:ascii="Times New Roman" w:hAnsi="Times New Roman" w:eastAsia="方正仿宋_GBK" w:cs="Times New Roman"/>
          <w:sz w:val="32"/>
          <w:szCs w:val="32"/>
        </w:rPr>
        <w:t>万人。城镇登记失业人员实现就业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0.47</w:t>
      </w:r>
      <w:r>
        <w:rPr>
          <w:rFonts w:ascii="Times New Roman" w:hAnsi="Times New Roman" w:eastAsia="方正仿宋_GBK" w:cs="Times New Roman"/>
          <w:sz w:val="32"/>
          <w:szCs w:val="32"/>
        </w:rPr>
        <w:t>万人。年末城镇登记失业率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3.19</w:t>
      </w:r>
      <w:r>
        <w:rPr>
          <w:rFonts w:ascii="Times New Roman" w:hAnsi="Times New Roman" w:eastAsia="方正仿宋_GBK" w:cs="Times New Roman"/>
          <w:sz w:val="32"/>
          <w:szCs w:val="32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全年居民消费价格比上年上涨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1.9</w:t>
      </w:r>
      <w:r>
        <w:rPr>
          <w:rFonts w:ascii="Times New Roman" w:hAnsi="Times New Roman" w:eastAsia="方正仿宋_GBK" w:cs="Times New Roman"/>
          <w:sz w:val="32"/>
          <w:szCs w:val="32"/>
        </w:rPr>
        <w:t>%。其中，食品烟酒类上涨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0.6</w:t>
      </w:r>
      <w:r>
        <w:rPr>
          <w:rFonts w:ascii="Times New Roman" w:hAnsi="Times New Roman" w:eastAsia="方正仿宋_GBK" w:cs="Times New Roman"/>
          <w:sz w:val="32"/>
          <w:szCs w:val="32"/>
        </w:rPr>
        <w:t>%；衣着类上涨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0.6</w:t>
      </w:r>
      <w:r>
        <w:rPr>
          <w:rFonts w:ascii="Times New Roman" w:hAnsi="Times New Roman" w:eastAsia="方正仿宋_GBK" w:cs="Times New Roman"/>
          <w:sz w:val="32"/>
          <w:szCs w:val="32"/>
        </w:rPr>
        <w:t>%；居住类上涨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4.0</w:t>
      </w:r>
      <w:r>
        <w:rPr>
          <w:rFonts w:ascii="Times New Roman" w:hAnsi="Times New Roman" w:eastAsia="方正仿宋_GBK" w:cs="Times New Roman"/>
          <w:sz w:val="32"/>
          <w:szCs w:val="32"/>
        </w:rPr>
        <w:t>%；生活用品及服务类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下降1.9</w:t>
      </w:r>
      <w:r>
        <w:rPr>
          <w:rFonts w:ascii="Times New Roman" w:hAnsi="Times New Roman" w:eastAsia="方正仿宋_GBK" w:cs="Times New Roman"/>
          <w:sz w:val="32"/>
          <w:szCs w:val="32"/>
        </w:rPr>
        <w:t>%；交通和通信类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上涨3.7</w:t>
      </w:r>
      <w:r>
        <w:rPr>
          <w:rFonts w:ascii="Times New Roman" w:hAnsi="Times New Roman" w:eastAsia="方正仿宋_GBK" w:cs="Times New Roman"/>
          <w:sz w:val="32"/>
          <w:szCs w:val="32"/>
        </w:rPr>
        <w:t>%；教育文化和娱乐类上涨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3.1</w:t>
      </w:r>
      <w:r>
        <w:rPr>
          <w:rFonts w:ascii="Times New Roman" w:hAnsi="Times New Roman" w:eastAsia="方正仿宋_GBK" w:cs="Times New Roman"/>
          <w:sz w:val="32"/>
          <w:szCs w:val="32"/>
        </w:rPr>
        <w:t>%；医疗保健类上涨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3.6</w:t>
      </w:r>
      <w:r>
        <w:rPr>
          <w:rFonts w:ascii="Times New Roman" w:hAnsi="Times New Roman" w:eastAsia="方正仿宋_GBK" w:cs="Times New Roman"/>
          <w:sz w:val="32"/>
          <w:szCs w:val="32"/>
        </w:rPr>
        <w:t>%；其他用品和服务类上涨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2.3</w:t>
      </w:r>
      <w:r>
        <w:rPr>
          <w:rFonts w:ascii="Times New Roman" w:hAnsi="Times New Roman" w:eastAsia="方正仿宋_GBK" w:cs="Times New Roman"/>
          <w:sz w:val="32"/>
          <w:szCs w:val="32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全年一般公共预算收入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25.21</w:t>
      </w:r>
      <w:r>
        <w:rPr>
          <w:rFonts w:ascii="Times New Roman" w:hAnsi="Times New Roman" w:eastAsia="方正仿宋_GBK" w:cs="Times New Roman"/>
          <w:sz w:val="32"/>
          <w:szCs w:val="32"/>
        </w:rPr>
        <w:t>亿元，比上年增长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12.8</w:t>
      </w:r>
      <w:r>
        <w:rPr>
          <w:rFonts w:ascii="Times New Roman" w:hAnsi="Times New Roman" w:eastAsia="方正仿宋_GBK" w:cs="Times New Roman"/>
          <w:sz w:val="32"/>
          <w:szCs w:val="32"/>
        </w:rPr>
        <w:t>%，其中税收收入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19.06</w:t>
      </w:r>
      <w:r>
        <w:rPr>
          <w:rFonts w:ascii="Times New Roman" w:hAnsi="Times New Roman" w:eastAsia="方正仿宋_GBK" w:cs="Times New Roman"/>
          <w:sz w:val="32"/>
          <w:szCs w:val="32"/>
        </w:rPr>
        <w:t>亿元，增长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18</w:t>
      </w:r>
      <w:r>
        <w:rPr>
          <w:rFonts w:ascii="Times New Roman" w:hAnsi="Times New Roman" w:eastAsia="方正仿宋_GBK" w:cs="Times New Roman"/>
          <w:sz w:val="32"/>
          <w:szCs w:val="32"/>
        </w:rPr>
        <w:t>%。一般公共预算支出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65.04</w:t>
      </w:r>
      <w:r>
        <w:rPr>
          <w:rFonts w:ascii="Times New Roman" w:hAnsi="Times New Roman" w:eastAsia="方正仿宋_GBK" w:cs="Times New Roman"/>
          <w:sz w:val="32"/>
          <w:szCs w:val="32"/>
        </w:rPr>
        <w:t>亿元，比上年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增长13.4</w:t>
      </w:r>
      <w:r>
        <w:rPr>
          <w:rFonts w:ascii="Times New Roman" w:hAnsi="Times New Roman" w:eastAsia="方正仿宋_GBK" w:cs="Times New Roman"/>
          <w:sz w:val="32"/>
          <w:szCs w:val="32"/>
        </w:rPr>
        <w:t>%。其中，一般公共服务支出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4.97</w:t>
      </w:r>
      <w:r>
        <w:rPr>
          <w:rFonts w:ascii="Times New Roman" w:hAnsi="Times New Roman" w:eastAsia="方正仿宋_GBK" w:cs="Times New Roman"/>
          <w:sz w:val="32"/>
          <w:szCs w:val="32"/>
        </w:rPr>
        <w:t>亿元，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下降3.1</w:t>
      </w:r>
      <w:r>
        <w:rPr>
          <w:rFonts w:ascii="Times New Roman" w:hAnsi="Times New Roman" w:eastAsia="方正仿宋_GBK" w:cs="Times New Roman"/>
          <w:sz w:val="32"/>
          <w:szCs w:val="32"/>
        </w:rPr>
        <w:t>%；教育支出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11.85</w:t>
      </w:r>
      <w:r>
        <w:rPr>
          <w:rFonts w:ascii="Times New Roman" w:hAnsi="Times New Roman" w:eastAsia="方正仿宋_GBK" w:cs="Times New Roman"/>
          <w:sz w:val="32"/>
          <w:szCs w:val="32"/>
        </w:rPr>
        <w:t>亿元，增长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2.6</w:t>
      </w:r>
      <w:r>
        <w:rPr>
          <w:rFonts w:ascii="Times New Roman" w:hAnsi="Times New Roman" w:eastAsia="方正仿宋_GBK" w:cs="Times New Roman"/>
          <w:sz w:val="32"/>
          <w:szCs w:val="32"/>
        </w:rPr>
        <w:t>%；社会保障和就业支出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6.44</w:t>
      </w:r>
      <w:r>
        <w:rPr>
          <w:rFonts w:ascii="Times New Roman" w:hAnsi="Times New Roman" w:eastAsia="方正仿宋_GBK" w:cs="Times New Roman"/>
          <w:sz w:val="32"/>
          <w:szCs w:val="32"/>
        </w:rPr>
        <w:t>亿元，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增长21.9</w:t>
      </w:r>
      <w:r>
        <w:rPr>
          <w:rFonts w:ascii="Times New Roman" w:hAnsi="Times New Roman" w:eastAsia="方正仿宋_GBK" w:cs="Times New Roman"/>
          <w:sz w:val="32"/>
          <w:szCs w:val="32"/>
        </w:rPr>
        <w:t>%。医疗卫生与计生支出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5.92</w:t>
      </w:r>
      <w:r>
        <w:rPr>
          <w:rFonts w:ascii="Times New Roman" w:hAnsi="Times New Roman" w:eastAsia="方正仿宋_GBK" w:cs="Times New Roman"/>
          <w:sz w:val="32"/>
          <w:szCs w:val="32"/>
        </w:rPr>
        <w:t>亿元，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下降1.3</w:t>
      </w:r>
      <w:r>
        <w:rPr>
          <w:rFonts w:ascii="Times New Roman" w:hAnsi="Times New Roman" w:eastAsia="方正仿宋_GBK" w:cs="Times New Roman"/>
          <w:sz w:val="32"/>
          <w:szCs w:val="32"/>
        </w:rPr>
        <w:t>%；农林水事务支出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10.17</w:t>
      </w:r>
      <w:r>
        <w:rPr>
          <w:rFonts w:ascii="Times New Roman" w:hAnsi="Times New Roman" w:eastAsia="方正仿宋_GBK" w:cs="Times New Roman"/>
          <w:sz w:val="32"/>
          <w:szCs w:val="32"/>
        </w:rPr>
        <w:t>亿元，增长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9.8</w:t>
      </w:r>
      <w:r>
        <w:rPr>
          <w:rFonts w:ascii="Times New Roman" w:hAnsi="Times New Roman" w:eastAsia="方正仿宋_GBK" w:cs="Times New Roman"/>
          <w:sz w:val="32"/>
          <w:szCs w:val="32"/>
        </w:rPr>
        <w:t>%；交通运输支出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4.44</w:t>
      </w:r>
      <w:r>
        <w:rPr>
          <w:rFonts w:ascii="Times New Roman" w:hAnsi="Times New Roman" w:eastAsia="方正仿宋_GBK" w:cs="Times New Roman"/>
          <w:sz w:val="32"/>
          <w:szCs w:val="32"/>
        </w:rPr>
        <w:t>亿元，增长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21</w:t>
      </w:r>
      <w:r>
        <w:rPr>
          <w:rFonts w:ascii="Times New Roman" w:hAnsi="Times New Roman" w:eastAsia="方正仿宋_GBK" w:cs="Times New Roman"/>
          <w:sz w:val="32"/>
          <w:szCs w:val="32"/>
        </w:rPr>
        <w:t>%。</w:t>
      </w:r>
    </w:p>
    <w:p>
      <w:pPr>
        <w:spacing w:line="580" w:lineRule="exact"/>
        <w:jc w:val="center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表2   2018年一般公共收入及其构成</w:t>
      </w:r>
    </w:p>
    <w:tbl>
      <w:tblPr>
        <w:tblStyle w:val="8"/>
        <w:tblW w:w="781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40"/>
        <w:gridCol w:w="2340"/>
        <w:gridCol w:w="1833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3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hAnsi="宋体" w:eastAsia="宋体" w:cs="Times New Roman"/>
                <w:b/>
                <w:color w:val="000000"/>
                <w:kern w:val="0"/>
                <w:sz w:val="22"/>
              </w:rPr>
              <w:t>指标</w:t>
            </w:r>
          </w:p>
        </w:tc>
        <w:tc>
          <w:tcPr>
            <w:tcW w:w="23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hAnsi="宋体" w:eastAsia="宋体" w:cs="Times New Roman"/>
                <w:b/>
                <w:color w:val="000000"/>
                <w:kern w:val="0"/>
                <w:sz w:val="22"/>
              </w:rPr>
              <w:t>绝对量（亿元）</w:t>
            </w:r>
          </w:p>
        </w:tc>
        <w:tc>
          <w:tcPr>
            <w:tcW w:w="183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hAnsi="宋体" w:eastAsia="宋体" w:cs="Times New Roman"/>
                <w:b/>
                <w:color w:val="000000"/>
                <w:kern w:val="0"/>
                <w:sz w:val="22"/>
              </w:rPr>
              <w:t>同比增速（</w:t>
            </w: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</w:rPr>
              <w:t>%</w:t>
            </w:r>
            <w:r>
              <w:rPr>
                <w:rFonts w:ascii="Times New Roman" w:hAnsi="宋体" w:eastAsia="宋体" w:cs="Times New Roman"/>
                <w:b/>
                <w:color w:val="000000"/>
                <w:kern w:val="0"/>
                <w:sz w:val="22"/>
              </w:rPr>
              <w:t>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364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宋体" w:eastAsia="宋体" w:cs="Times New Roman"/>
                <w:color w:val="000000"/>
                <w:kern w:val="0"/>
                <w:sz w:val="22"/>
              </w:rPr>
              <w:t>一般公共预算收入</w:t>
            </w:r>
          </w:p>
        </w:tc>
        <w:tc>
          <w:tcPr>
            <w:tcW w:w="234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25.21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12.8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364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     </w:t>
            </w:r>
            <w:r>
              <w:rPr>
                <w:rFonts w:ascii="Times New Roman" w:hAnsi="宋体" w:eastAsia="宋体" w:cs="Times New Roman"/>
                <w:color w:val="000000"/>
                <w:kern w:val="0"/>
                <w:sz w:val="22"/>
              </w:rPr>
              <w:t>税收收入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19.0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>6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18.0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364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          </w:t>
            </w:r>
            <w:r>
              <w:rPr>
                <w:rFonts w:ascii="Times New Roman" w:hAnsi="宋体" w:eastAsia="宋体" w:cs="Times New Roman"/>
                <w:color w:val="000000"/>
                <w:kern w:val="0"/>
                <w:sz w:val="22"/>
              </w:rPr>
              <w:t>增值税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  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8.48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16.2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364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          </w:t>
            </w:r>
            <w:r>
              <w:rPr>
                <w:rFonts w:ascii="Times New Roman" w:hAnsi="宋体" w:eastAsia="宋体" w:cs="Times New Roman"/>
                <w:color w:val="000000"/>
                <w:kern w:val="0"/>
                <w:sz w:val="22"/>
              </w:rPr>
              <w:t>企业所得税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68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-5.7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364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          </w:t>
            </w:r>
            <w:r>
              <w:rPr>
                <w:rFonts w:ascii="Times New Roman" w:hAnsi="宋体" w:eastAsia="宋体" w:cs="Times New Roman"/>
                <w:color w:val="000000"/>
                <w:kern w:val="0"/>
                <w:sz w:val="22"/>
              </w:rPr>
              <w:t>个人所得税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2.88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115.0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3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     </w:t>
            </w:r>
            <w:r>
              <w:rPr>
                <w:rFonts w:ascii="Times New Roman" w:hAnsi="宋体" w:eastAsia="宋体" w:cs="Times New Roman"/>
                <w:color w:val="000000"/>
                <w:kern w:val="0"/>
                <w:sz w:val="22"/>
              </w:rPr>
              <w:t>非税收入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6.15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83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0.9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方正黑体_GBK" w:cs="Times New Roman"/>
          <w:sz w:val="32"/>
          <w:szCs w:val="32"/>
        </w:rPr>
      </w:pPr>
      <w:r>
        <w:rPr>
          <w:rFonts w:ascii="Times New Roman" w:hAnsi="Times New Roman" w:eastAsia="方正黑体_GBK" w:cs="Times New Roman"/>
          <w:sz w:val="32"/>
          <w:szCs w:val="32"/>
        </w:rPr>
        <w:t>二、</w:t>
      </w:r>
      <w:r>
        <w:rPr>
          <w:rFonts w:hint="eastAsia" w:ascii="Times New Roman" w:hAnsi="Times New Roman" w:eastAsia="方正黑体_GBK" w:cs="Times New Roman"/>
          <w:sz w:val="32"/>
          <w:szCs w:val="32"/>
        </w:rPr>
        <w:t>农业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全年农林牧渔业增加值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23.87</w:t>
      </w:r>
      <w:r>
        <w:rPr>
          <w:rFonts w:ascii="Times New Roman" w:hAnsi="Times New Roman" w:eastAsia="方正仿宋_GBK" w:cs="Times New Roman"/>
          <w:sz w:val="32"/>
          <w:szCs w:val="32"/>
        </w:rPr>
        <w:t>亿元，比上年增长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5.2</w:t>
      </w:r>
      <w:r>
        <w:rPr>
          <w:rFonts w:ascii="Times New Roman" w:hAnsi="Times New Roman" w:eastAsia="方正仿宋_GBK" w:cs="Times New Roman"/>
          <w:sz w:val="32"/>
          <w:szCs w:val="32"/>
        </w:rPr>
        <w:t>%。其中，种植业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15.35</w:t>
      </w:r>
      <w:r>
        <w:rPr>
          <w:rFonts w:ascii="Times New Roman" w:hAnsi="Times New Roman" w:eastAsia="方正仿宋_GBK" w:cs="Times New Roman"/>
          <w:sz w:val="32"/>
          <w:szCs w:val="32"/>
        </w:rPr>
        <w:t>亿元，增长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6.8</w:t>
      </w:r>
      <w:r>
        <w:rPr>
          <w:rFonts w:ascii="Times New Roman" w:hAnsi="Times New Roman" w:eastAsia="方正仿宋_GBK" w:cs="Times New Roman"/>
          <w:sz w:val="32"/>
          <w:szCs w:val="32"/>
        </w:rPr>
        <w:t>%；林业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1.88</w:t>
      </w:r>
      <w:r>
        <w:rPr>
          <w:rFonts w:ascii="Times New Roman" w:hAnsi="Times New Roman" w:eastAsia="方正仿宋_GBK" w:cs="Times New Roman"/>
          <w:sz w:val="32"/>
          <w:szCs w:val="32"/>
        </w:rPr>
        <w:t>亿元，增长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13.2</w:t>
      </w:r>
      <w:r>
        <w:rPr>
          <w:rFonts w:ascii="Times New Roman" w:hAnsi="Times New Roman" w:eastAsia="方正仿宋_GBK" w:cs="Times New Roman"/>
          <w:sz w:val="32"/>
          <w:szCs w:val="32"/>
        </w:rPr>
        <w:t>%；畜牧业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5.84</w:t>
      </w:r>
      <w:r>
        <w:rPr>
          <w:rFonts w:ascii="Times New Roman" w:hAnsi="Times New Roman" w:eastAsia="方正仿宋_GBK" w:cs="Times New Roman"/>
          <w:sz w:val="32"/>
          <w:szCs w:val="32"/>
        </w:rPr>
        <w:t>亿元，下降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0.8</w:t>
      </w:r>
      <w:r>
        <w:rPr>
          <w:rFonts w:ascii="Times New Roman" w:hAnsi="Times New Roman" w:eastAsia="方正仿宋_GBK" w:cs="Times New Roman"/>
          <w:sz w:val="32"/>
          <w:szCs w:val="32"/>
        </w:rPr>
        <w:t>%；渔业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0.31</w:t>
      </w:r>
      <w:r>
        <w:rPr>
          <w:rFonts w:ascii="Times New Roman" w:hAnsi="Times New Roman" w:eastAsia="方正仿宋_GBK" w:cs="Times New Roman"/>
          <w:sz w:val="32"/>
          <w:szCs w:val="32"/>
        </w:rPr>
        <w:t>亿元，增长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14.8</w:t>
      </w:r>
      <w:r>
        <w:rPr>
          <w:rFonts w:ascii="Times New Roman" w:hAnsi="Times New Roman" w:eastAsia="方正仿宋_GBK" w:cs="Times New Roman"/>
          <w:sz w:val="32"/>
          <w:szCs w:val="32"/>
        </w:rPr>
        <w:t>%；农林牧渔服务业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0.49</w:t>
      </w:r>
      <w:r>
        <w:rPr>
          <w:rFonts w:ascii="Times New Roman" w:hAnsi="Times New Roman" w:eastAsia="方正仿宋_GBK" w:cs="Times New Roman"/>
          <w:sz w:val="32"/>
          <w:szCs w:val="32"/>
        </w:rPr>
        <w:t>亿元，增长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8.8</w:t>
      </w:r>
      <w:r>
        <w:rPr>
          <w:rFonts w:ascii="Times New Roman" w:hAnsi="Times New Roman" w:eastAsia="方正仿宋_GBK" w:cs="Times New Roman"/>
          <w:sz w:val="32"/>
          <w:szCs w:val="32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全年粮食播种面积72.22万亩，比上年增长0.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%。粮食综合单产315.59公斤/亩，增长0.9%。蔬菜播种面积16.38万亩，增长1.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9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%。瓜果种植面积1.38万亩，增长2.5%。全年粮食产量22.79万吨，比上年增长1.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%，其中夏粮产量4.84万吨，增长2.3%。全年谷物产量12.93万吨，增长0.1%。其中，稻谷产量5.8万吨，增长0.6%；玉米产量7万吨，减少0.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%。</w:t>
      </w:r>
    </w:p>
    <w:p>
      <w:pPr>
        <w:spacing w:line="580" w:lineRule="exact"/>
        <w:jc w:val="center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表3  2018年主要农产品产量</w:t>
      </w:r>
    </w:p>
    <w:tbl>
      <w:tblPr>
        <w:tblStyle w:val="8"/>
        <w:tblW w:w="771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46"/>
        <w:gridCol w:w="2286"/>
        <w:gridCol w:w="218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2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hAnsi="宋体" w:eastAsia="宋体" w:cs="Times New Roman"/>
                <w:b/>
                <w:color w:val="000000"/>
                <w:kern w:val="0"/>
                <w:sz w:val="22"/>
              </w:rPr>
              <w:t>产品名称</w:t>
            </w:r>
          </w:p>
        </w:tc>
        <w:tc>
          <w:tcPr>
            <w:tcW w:w="22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hAnsi="宋体" w:eastAsia="宋体" w:cs="Times New Roman"/>
                <w:b/>
                <w:color w:val="000000"/>
                <w:kern w:val="0"/>
                <w:sz w:val="22"/>
              </w:rPr>
              <w:t>产量</w:t>
            </w:r>
          </w:p>
        </w:tc>
        <w:tc>
          <w:tcPr>
            <w:tcW w:w="218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hAnsi="宋体" w:eastAsia="宋体" w:cs="Times New Roman"/>
                <w:b/>
                <w:color w:val="000000"/>
                <w:kern w:val="0"/>
                <w:sz w:val="22"/>
              </w:rPr>
              <w:t>比上年增长（</w:t>
            </w: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</w:rPr>
              <w:t>%</w:t>
            </w:r>
            <w:r>
              <w:rPr>
                <w:rFonts w:ascii="Times New Roman" w:hAnsi="宋体" w:eastAsia="宋体" w:cs="Times New Roman"/>
                <w:b/>
                <w:color w:val="000000"/>
                <w:kern w:val="0"/>
                <w:sz w:val="22"/>
              </w:rPr>
              <w:t>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246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宋体" w:eastAsia="宋体" w:cs="Times New Roman"/>
                <w:color w:val="000000"/>
                <w:kern w:val="0"/>
                <w:sz w:val="22"/>
              </w:rPr>
              <w:t>粮食产量（万吨）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22.79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1.2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246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宋体" w:eastAsia="宋体" w:cs="Times New Roman"/>
                <w:color w:val="000000"/>
                <w:kern w:val="0"/>
                <w:sz w:val="22"/>
              </w:rPr>
              <w:t>油料产量（万吨）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1.31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-16.4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246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宋体" w:eastAsia="宋体" w:cs="Times New Roman"/>
                <w:color w:val="000000"/>
                <w:kern w:val="0"/>
                <w:sz w:val="22"/>
              </w:rPr>
              <w:t>蔬菜产量（万吨）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23.26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12.7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246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宋体" w:eastAsia="宋体" w:cs="Times New Roman"/>
                <w:color w:val="000000"/>
                <w:kern w:val="0"/>
                <w:sz w:val="22"/>
              </w:rPr>
              <w:t>瓜果产量（万吨）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3.08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6.3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246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宋体" w:eastAsia="宋体" w:cs="Times New Roman"/>
                <w:color w:val="000000"/>
                <w:kern w:val="0"/>
                <w:sz w:val="22"/>
              </w:rPr>
              <w:t>生猪出栏（万头）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65.05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0.2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246" w:type="dxa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宋体" w:eastAsia="宋体" w:cs="Times New Roman"/>
                <w:color w:val="000000"/>
                <w:kern w:val="0"/>
                <w:sz w:val="22"/>
              </w:rPr>
              <w:t>羊出栏（万只）</w:t>
            </w:r>
          </w:p>
        </w:tc>
        <w:tc>
          <w:tcPr>
            <w:tcW w:w="2286" w:type="dxa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5.18</w:t>
            </w:r>
          </w:p>
        </w:tc>
        <w:tc>
          <w:tcPr>
            <w:tcW w:w="218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</w:rPr>
              <w:t>-5.2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2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宋体" w:eastAsia="宋体" w:cs="Times New Roman"/>
                <w:color w:val="000000"/>
                <w:kern w:val="0"/>
                <w:sz w:val="22"/>
              </w:rPr>
              <w:t>家禽出栏（万只）</w:t>
            </w:r>
          </w:p>
        </w:tc>
        <w:tc>
          <w:tcPr>
            <w:tcW w:w="22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192.90</w:t>
            </w:r>
          </w:p>
        </w:tc>
        <w:tc>
          <w:tcPr>
            <w:tcW w:w="218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-2.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>2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方正黑体_GBK" w:cs="Times New Roman"/>
          <w:sz w:val="32"/>
          <w:szCs w:val="32"/>
        </w:rPr>
      </w:pPr>
      <w:r>
        <w:rPr>
          <w:rFonts w:ascii="Times New Roman" w:hAnsi="Times New Roman" w:eastAsia="方正黑体_GBK" w:cs="Times New Roman"/>
          <w:sz w:val="32"/>
          <w:szCs w:val="32"/>
        </w:rPr>
        <w:t>三、工业和建筑业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全年工业增加值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81.3</w:t>
      </w:r>
      <w:r>
        <w:rPr>
          <w:rFonts w:ascii="Times New Roman" w:hAnsi="Times New Roman" w:eastAsia="方正仿宋_GBK" w:cs="Times New Roman"/>
          <w:sz w:val="32"/>
          <w:szCs w:val="32"/>
        </w:rPr>
        <w:t>亿元，比上年增长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8.0</w:t>
      </w:r>
      <w:r>
        <w:rPr>
          <w:rFonts w:ascii="Times New Roman" w:hAnsi="Times New Roman" w:eastAsia="方正仿宋_GBK" w:cs="Times New Roman"/>
          <w:sz w:val="32"/>
          <w:szCs w:val="32"/>
        </w:rPr>
        <w:t>%，占地区生产总值的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32.9</w:t>
      </w:r>
      <w:r>
        <w:rPr>
          <w:rFonts w:ascii="Times New Roman" w:hAnsi="Times New Roman" w:eastAsia="方正仿宋_GBK" w:cs="Times New Roman"/>
          <w:sz w:val="32"/>
          <w:szCs w:val="32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规模以上工业增加值增长8.2%。分产业看，卷烟及配套产业增长10.7%；农副产品加工产业增长18.4%；生物医药产业增长53.7%；轻纺服装产业增长24.3%；节能环保产业下降3.5%；新材料产业增长7%。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规模以上工业主营业务收入比上年增长9.1%，利税总额下降34.5%，利润总额增长39.8%，产品销售率97.8%，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下降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0.6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个百分点。</w:t>
      </w:r>
    </w:p>
    <w:p>
      <w:pPr>
        <w:spacing w:line="580" w:lineRule="exact"/>
        <w:jc w:val="center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>
      <w:pPr>
        <w:spacing w:line="580" w:lineRule="exact"/>
        <w:jc w:val="center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表4   2018年规模以上工业企业主要产品产量</w:t>
      </w:r>
    </w:p>
    <w:tbl>
      <w:tblPr>
        <w:tblStyle w:val="8"/>
        <w:tblW w:w="761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15"/>
        <w:gridCol w:w="2402"/>
        <w:gridCol w:w="200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2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hAnsi="宋体" w:eastAsia="宋体" w:cs="Times New Roman"/>
                <w:b/>
                <w:color w:val="000000"/>
                <w:kern w:val="0"/>
                <w:sz w:val="22"/>
              </w:rPr>
              <w:t>主要产品</w:t>
            </w:r>
          </w:p>
        </w:tc>
        <w:tc>
          <w:tcPr>
            <w:tcW w:w="24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hAnsi="宋体" w:eastAsia="宋体" w:cs="Times New Roman"/>
                <w:b/>
                <w:color w:val="000000"/>
                <w:kern w:val="0"/>
                <w:sz w:val="22"/>
              </w:rPr>
              <w:t>产量</w:t>
            </w:r>
          </w:p>
        </w:tc>
        <w:tc>
          <w:tcPr>
            <w:tcW w:w="20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hAnsi="宋体" w:eastAsia="宋体" w:cs="Times New Roman"/>
                <w:b/>
                <w:color w:val="000000"/>
                <w:kern w:val="0"/>
                <w:sz w:val="22"/>
              </w:rPr>
              <w:t>比上年增长（</w:t>
            </w: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</w:rPr>
              <w:t>%</w:t>
            </w:r>
            <w:r>
              <w:rPr>
                <w:rFonts w:ascii="Times New Roman" w:hAnsi="宋体" w:eastAsia="宋体" w:cs="Times New Roman"/>
                <w:b/>
                <w:color w:val="000000"/>
                <w:kern w:val="0"/>
                <w:sz w:val="22"/>
              </w:rPr>
              <w:t>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21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宋体" w:eastAsia="宋体" w:cs="Times New Roman"/>
                <w:color w:val="000000"/>
                <w:kern w:val="0"/>
                <w:sz w:val="22"/>
              </w:rPr>
              <w:t>卷烟（万箱）</w:t>
            </w:r>
          </w:p>
        </w:tc>
        <w:tc>
          <w:tcPr>
            <w:tcW w:w="2402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>32.24</w:t>
            </w:r>
          </w:p>
        </w:tc>
        <w:tc>
          <w:tcPr>
            <w:tcW w:w="200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>23.4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21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宋体" w:eastAsia="宋体" w:cs="Times New Roman"/>
                <w:color w:val="000000"/>
                <w:kern w:val="0"/>
                <w:sz w:val="22"/>
              </w:rPr>
              <w:t>水泥（万吨）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>230.3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>13.5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21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宋体" w:eastAsia="宋体" w:cs="Times New Roman"/>
                <w:color w:val="000000"/>
                <w:kern w:val="0"/>
                <w:sz w:val="22"/>
              </w:rPr>
              <w:t>铝材（万吨）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>6.6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>-6.9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宋体" w:eastAsia="宋体" w:cs="Times New Roman"/>
                <w:color w:val="000000"/>
                <w:kern w:val="0"/>
                <w:sz w:val="22"/>
              </w:rPr>
              <w:t>发电量（</w:t>
            </w:r>
            <w:r>
              <w:rPr>
                <w:rFonts w:hint="eastAsia" w:ascii="Times New Roman" w:hAnsi="宋体" w:eastAsia="宋体" w:cs="Times New Roman"/>
                <w:color w:val="000000"/>
                <w:kern w:val="0"/>
                <w:sz w:val="22"/>
                <w:lang w:eastAsia="zh-CN"/>
              </w:rPr>
              <w:t>万</w:t>
            </w:r>
            <w:r>
              <w:rPr>
                <w:rFonts w:ascii="Times New Roman" w:hAnsi="宋体" w:eastAsia="宋体" w:cs="Times New Roman"/>
                <w:color w:val="000000"/>
                <w:kern w:val="0"/>
                <w:sz w:val="22"/>
              </w:rPr>
              <w:t>千瓦时）</w:t>
            </w:r>
          </w:p>
        </w:tc>
        <w:tc>
          <w:tcPr>
            <w:tcW w:w="2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>21852</w:t>
            </w:r>
          </w:p>
        </w:tc>
        <w:tc>
          <w:tcPr>
            <w:tcW w:w="20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>18.2</w:t>
            </w:r>
          </w:p>
        </w:tc>
      </w:tr>
    </w:tbl>
    <w:p>
      <w:pPr>
        <w:spacing w:line="58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全年建筑业增加值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27.58</w:t>
      </w:r>
      <w:r>
        <w:rPr>
          <w:rFonts w:ascii="Times New Roman" w:hAnsi="Times New Roman" w:eastAsia="方正仿宋_GBK" w:cs="Times New Roman"/>
          <w:sz w:val="32"/>
          <w:szCs w:val="32"/>
        </w:rPr>
        <w:t>亿元，比上年增长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8.3</w:t>
      </w:r>
      <w:r>
        <w:rPr>
          <w:rFonts w:ascii="Times New Roman" w:hAnsi="Times New Roman" w:eastAsia="方正仿宋_GBK" w:cs="Times New Roman"/>
          <w:sz w:val="32"/>
          <w:szCs w:val="32"/>
        </w:rPr>
        <w:t>%，占地区生产总值的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11.1</w:t>
      </w:r>
      <w:r>
        <w:rPr>
          <w:rFonts w:ascii="Times New Roman" w:hAnsi="Times New Roman" w:eastAsia="方正仿宋_GBK" w:cs="Times New Roman"/>
          <w:sz w:val="32"/>
          <w:szCs w:val="32"/>
        </w:rPr>
        <w:t>%。建筑业总产值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113.29</w:t>
      </w:r>
      <w:r>
        <w:rPr>
          <w:rFonts w:ascii="Times New Roman" w:hAnsi="Times New Roman" w:eastAsia="方正仿宋_GBK" w:cs="Times New Roman"/>
          <w:sz w:val="32"/>
          <w:szCs w:val="32"/>
        </w:rPr>
        <w:t>亿元，增长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8.3</w:t>
      </w:r>
      <w:r>
        <w:rPr>
          <w:rFonts w:ascii="Times New Roman" w:hAnsi="Times New Roman" w:eastAsia="方正仿宋_GBK" w:cs="Times New Roman"/>
          <w:sz w:val="32"/>
          <w:szCs w:val="32"/>
        </w:rPr>
        <w:t>%。</w:t>
      </w:r>
    </w:p>
    <w:p>
      <w:pPr>
        <w:spacing w:line="580" w:lineRule="exact"/>
        <w:jc w:val="center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表5   2018年建筑业主要指标</w:t>
      </w:r>
    </w:p>
    <w:tbl>
      <w:tblPr>
        <w:tblStyle w:val="8"/>
        <w:tblW w:w="7721" w:type="dxa"/>
        <w:jc w:val="center"/>
        <w:tblInd w:w="-66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41"/>
        <w:gridCol w:w="2210"/>
        <w:gridCol w:w="247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0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宋体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指标</w:t>
            </w:r>
          </w:p>
        </w:tc>
        <w:tc>
          <w:tcPr>
            <w:tcW w:w="22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宋体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绝对值</w:t>
            </w:r>
          </w:p>
        </w:tc>
        <w:tc>
          <w:tcPr>
            <w:tcW w:w="247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宋体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比上年增长（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%</w:t>
            </w:r>
            <w:r>
              <w:rPr>
                <w:rFonts w:ascii="Times New Roman" w:hAnsi="宋体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041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宋体" w:eastAsia="宋体" w:cs="Times New Roman"/>
                <w:color w:val="000000"/>
                <w:kern w:val="0"/>
                <w:sz w:val="24"/>
                <w:szCs w:val="24"/>
              </w:rPr>
              <w:t>总产值（亿元）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113.29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8.3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041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宋体" w:eastAsia="宋体" w:cs="Times New Roman"/>
                <w:color w:val="000000"/>
                <w:kern w:val="0"/>
                <w:sz w:val="24"/>
                <w:szCs w:val="24"/>
              </w:rPr>
              <w:t>企业数（个）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60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22.4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0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宋体" w:eastAsia="宋体" w:cs="Times New Roman"/>
                <w:color w:val="000000"/>
                <w:kern w:val="0"/>
                <w:sz w:val="24"/>
                <w:szCs w:val="24"/>
              </w:rPr>
              <w:t>在地项目个数（个）</w:t>
            </w:r>
          </w:p>
        </w:tc>
        <w:tc>
          <w:tcPr>
            <w:tcW w:w="22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852</w:t>
            </w:r>
          </w:p>
        </w:tc>
        <w:tc>
          <w:tcPr>
            <w:tcW w:w="247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</w:rPr>
              <w:t>12.1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方正黑体_GBK" w:cs="Times New Roman"/>
          <w:sz w:val="32"/>
          <w:szCs w:val="32"/>
        </w:rPr>
      </w:pPr>
      <w:r>
        <w:rPr>
          <w:rFonts w:ascii="Times New Roman" w:hAnsi="Times New Roman" w:eastAsia="方正黑体_GBK" w:cs="Times New Roman"/>
          <w:sz w:val="32"/>
          <w:szCs w:val="32"/>
        </w:rPr>
        <w:t>四、固定资产投资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全年固定资产投资比上年增长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8.1</w:t>
      </w:r>
      <w:r>
        <w:rPr>
          <w:rFonts w:ascii="Times New Roman" w:hAnsi="Times New Roman" w:eastAsia="方正仿宋_GBK" w:cs="Times New Roman"/>
          <w:sz w:val="32"/>
          <w:szCs w:val="32"/>
        </w:rPr>
        <w:t>%。其中，第一产业投资增长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107.8%</w:t>
      </w:r>
      <w:r>
        <w:rPr>
          <w:rFonts w:ascii="Times New Roman" w:hAnsi="Times New Roman" w:eastAsia="方正仿宋_GBK" w:cs="Times New Roman"/>
          <w:sz w:val="32"/>
          <w:szCs w:val="32"/>
        </w:rPr>
        <w:t>；第二产业投资增长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1.4</w:t>
      </w:r>
      <w:r>
        <w:rPr>
          <w:rFonts w:ascii="Times New Roman" w:hAnsi="Times New Roman" w:eastAsia="方正仿宋_GBK" w:cs="Times New Roman"/>
          <w:sz w:val="32"/>
          <w:szCs w:val="32"/>
        </w:rPr>
        <w:t>%；第三产业投资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增长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6.3</w:t>
      </w: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>%</w:t>
      </w:r>
      <w:r>
        <w:rPr>
          <w:rFonts w:ascii="Times New Roman" w:hAnsi="Times New Roman" w:eastAsia="方正仿宋_GBK" w:cs="Times New Roman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分性质看：国有投资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增长30.1</w:t>
      </w:r>
      <w:r>
        <w:rPr>
          <w:rFonts w:ascii="Times New Roman" w:hAnsi="Times New Roman" w:eastAsia="方正仿宋_GBK" w:cs="Times New Roman"/>
          <w:sz w:val="32"/>
          <w:szCs w:val="32"/>
        </w:rPr>
        <w:t>%；民间投资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下降12</w:t>
      </w:r>
      <w:r>
        <w:rPr>
          <w:rFonts w:ascii="Times New Roman" w:hAnsi="Times New Roman" w:eastAsia="方正仿宋_GBK" w:cs="Times New Roman"/>
          <w:sz w:val="32"/>
          <w:szCs w:val="32"/>
        </w:rPr>
        <w:t>%。分类别看：建设与改造投资增长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8.8</w:t>
      </w:r>
      <w:r>
        <w:rPr>
          <w:rFonts w:ascii="Times New Roman" w:hAnsi="Times New Roman" w:eastAsia="方正仿宋_GBK" w:cs="Times New Roman"/>
          <w:sz w:val="32"/>
          <w:szCs w:val="32"/>
        </w:rPr>
        <w:t>%；房地产开发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增长4.4</w:t>
      </w:r>
      <w:r>
        <w:rPr>
          <w:rFonts w:ascii="Times New Roman" w:hAnsi="Times New Roman" w:eastAsia="方正仿宋_GBK" w:cs="Times New Roman"/>
          <w:sz w:val="32"/>
          <w:szCs w:val="32"/>
        </w:rPr>
        <w:t>%。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</w:rPr>
        <w:t xml:space="preserve">图 </w:t>
      </w:r>
      <w:r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</w:rPr>
        <w:fldChar w:fldCharType="begin"/>
      </w:r>
      <w:r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</w:rPr>
        <w:instrText xml:space="preserve"> SEQ 图 \* ARABIC </w:instrText>
      </w:r>
      <w:r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</w:rPr>
        <w:fldChar w:fldCharType="separate"/>
      </w:r>
      <w:r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</w:rPr>
        <w:t>2</w:t>
      </w:r>
      <w:r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</w:rPr>
        <w:fldChar w:fldCharType="end"/>
      </w:r>
      <w:r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</w:rPr>
        <w:t xml:space="preserve">  2018年按领域分固定资产投资及其占比</w:t>
      </w:r>
    </w:p>
    <w:p>
      <w:pPr>
        <w:jc w:val="center"/>
      </w:pPr>
      <w:r>
        <w:drawing>
          <wp:inline distT="0" distB="0" distL="114300" distR="114300">
            <wp:extent cx="4572000" cy="1735455"/>
            <wp:effectExtent l="5080" t="4445" r="13970" b="12700"/>
            <wp:docPr id="2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全年商品房施工面积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222.92</w:t>
      </w:r>
      <w:r>
        <w:rPr>
          <w:rFonts w:ascii="Times New Roman" w:hAnsi="Times New Roman" w:eastAsia="方正仿宋_GBK" w:cs="Times New Roman"/>
          <w:sz w:val="32"/>
          <w:szCs w:val="32"/>
        </w:rPr>
        <w:t>万平方米，比上年增长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1.2</w:t>
      </w:r>
      <w:r>
        <w:rPr>
          <w:rFonts w:ascii="Times New Roman" w:hAnsi="Times New Roman" w:eastAsia="方正仿宋_GBK" w:cs="Times New Roman"/>
          <w:sz w:val="32"/>
          <w:szCs w:val="32"/>
        </w:rPr>
        <w:t>%。商品房销售面积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58.54</w:t>
      </w:r>
      <w:r>
        <w:rPr>
          <w:rFonts w:ascii="Times New Roman" w:hAnsi="Times New Roman" w:eastAsia="方正仿宋_GBK" w:cs="Times New Roman"/>
          <w:sz w:val="32"/>
          <w:szCs w:val="32"/>
        </w:rPr>
        <w:t>万平方米，增长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3.4</w:t>
      </w:r>
      <w:r>
        <w:rPr>
          <w:rFonts w:ascii="Times New Roman" w:hAnsi="Times New Roman" w:eastAsia="方正仿宋_GBK" w:cs="Times New Roman"/>
          <w:sz w:val="32"/>
          <w:szCs w:val="32"/>
        </w:rPr>
        <w:t>%，其中，住宅销售面积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52.50</w:t>
      </w:r>
      <w:r>
        <w:rPr>
          <w:rFonts w:ascii="Times New Roman" w:hAnsi="Times New Roman" w:eastAsia="方正仿宋_GBK" w:cs="Times New Roman"/>
          <w:sz w:val="32"/>
          <w:szCs w:val="32"/>
        </w:rPr>
        <w:t>万平方米，增长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10.1</w:t>
      </w:r>
      <w:r>
        <w:rPr>
          <w:rFonts w:ascii="Times New Roman" w:hAnsi="Times New Roman" w:eastAsia="方正仿宋_GBK" w:cs="Times New Roman"/>
          <w:sz w:val="32"/>
          <w:szCs w:val="32"/>
        </w:rPr>
        <w:t>%。商品房销售额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29.25</w:t>
      </w:r>
      <w:r>
        <w:rPr>
          <w:rFonts w:ascii="Times New Roman" w:hAnsi="Times New Roman" w:eastAsia="方正仿宋_GBK" w:cs="Times New Roman"/>
          <w:sz w:val="32"/>
          <w:szCs w:val="32"/>
        </w:rPr>
        <w:t>亿元，下降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3.7</w:t>
      </w:r>
      <w:r>
        <w:rPr>
          <w:rFonts w:ascii="Times New Roman" w:hAnsi="Times New Roman" w:eastAsia="方正仿宋_GBK" w:cs="Times New Roman"/>
          <w:sz w:val="32"/>
          <w:szCs w:val="32"/>
        </w:rPr>
        <w:t>%，其中，住宅销售额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26.80</w:t>
      </w:r>
      <w:r>
        <w:rPr>
          <w:rFonts w:ascii="Times New Roman" w:hAnsi="Times New Roman" w:eastAsia="方正仿宋_GBK" w:cs="Times New Roman"/>
          <w:sz w:val="32"/>
          <w:szCs w:val="32"/>
        </w:rPr>
        <w:t>亿元，增长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20</w:t>
      </w:r>
      <w:r>
        <w:rPr>
          <w:rFonts w:ascii="Times New Roman" w:hAnsi="Times New Roman" w:eastAsia="方正仿宋_GBK" w:cs="Times New Roman"/>
          <w:sz w:val="32"/>
          <w:szCs w:val="32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方正黑体_GBK" w:cs="Times New Roman"/>
          <w:sz w:val="32"/>
          <w:szCs w:val="32"/>
        </w:rPr>
      </w:pPr>
      <w:r>
        <w:rPr>
          <w:rFonts w:ascii="Times New Roman" w:hAnsi="Times New Roman" w:eastAsia="方正黑体_GBK" w:cs="Times New Roman"/>
          <w:sz w:val="32"/>
          <w:szCs w:val="32"/>
        </w:rPr>
        <w:t>五、国内贸易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全年批发和零售业增加值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15.16</w:t>
      </w:r>
      <w:r>
        <w:rPr>
          <w:rFonts w:ascii="Times New Roman" w:hAnsi="Times New Roman" w:eastAsia="方正仿宋_GBK" w:cs="Times New Roman"/>
          <w:sz w:val="32"/>
          <w:szCs w:val="32"/>
        </w:rPr>
        <w:t>亿元，比上年增长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5</w:t>
      </w:r>
      <w:r>
        <w:rPr>
          <w:rFonts w:ascii="Times New Roman" w:hAnsi="Times New Roman" w:eastAsia="方正仿宋_GBK" w:cs="Times New Roman"/>
          <w:sz w:val="32"/>
          <w:szCs w:val="32"/>
        </w:rPr>
        <w:t>%，占地区生产总值的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6.1</w:t>
      </w:r>
      <w:r>
        <w:rPr>
          <w:rFonts w:ascii="Times New Roman" w:hAnsi="Times New Roman" w:eastAsia="方正仿宋_GBK" w:cs="Times New Roman"/>
          <w:sz w:val="32"/>
          <w:szCs w:val="32"/>
        </w:rPr>
        <w:t>%；住宿和餐饮业增加值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8.79</w:t>
      </w:r>
      <w:r>
        <w:rPr>
          <w:rFonts w:ascii="Times New Roman" w:hAnsi="Times New Roman" w:eastAsia="方正仿宋_GBK" w:cs="Times New Roman"/>
          <w:sz w:val="32"/>
          <w:szCs w:val="32"/>
        </w:rPr>
        <w:t>亿元，增长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5.5</w:t>
      </w:r>
      <w:r>
        <w:rPr>
          <w:rFonts w:ascii="Times New Roman" w:hAnsi="Times New Roman" w:eastAsia="方正仿宋_GBK" w:cs="Times New Roman"/>
          <w:sz w:val="32"/>
          <w:szCs w:val="32"/>
        </w:rPr>
        <w:t>%，占地区生产总值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3.6</w:t>
      </w:r>
      <w:r>
        <w:rPr>
          <w:rFonts w:ascii="Times New Roman" w:hAnsi="Times New Roman" w:eastAsia="方正仿宋_GBK" w:cs="Times New Roman"/>
          <w:sz w:val="32"/>
          <w:szCs w:val="32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全年社会消费品零售总额比上年增长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8.3</w:t>
      </w:r>
      <w:r>
        <w:rPr>
          <w:rFonts w:ascii="Times New Roman" w:hAnsi="Times New Roman" w:eastAsia="方正仿宋_GBK" w:cs="Times New Roman"/>
          <w:sz w:val="32"/>
          <w:szCs w:val="32"/>
        </w:rPr>
        <w:t>%。全年批发零售企业商品销售额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267.37</w:t>
      </w:r>
      <w:r>
        <w:rPr>
          <w:rFonts w:ascii="Times New Roman" w:hAnsi="Times New Roman" w:eastAsia="方正仿宋_GBK" w:cs="Times New Roman"/>
          <w:sz w:val="32"/>
          <w:szCs w:val="32"/>
        </w:rPr>
        <w:t>亿元，增长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10.2</w:t>
      </w:r>
      <w:r>
        <w:rPr>
          <w:rFonts w:ascii="Times New Roman" w:hAnsi="Times New Roman" w:eastAsia="方正仿宋_GBK" w:cs="Times New Roman"/>
          <w:sz w:val="32"/>
          <w:szCs w:val="32"/>
        </w:rPr>
        <w:t>%。住宿餐饮企业营业收入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19.65</w:t>
      </w:r>
      <w:r>
        <w:rPr>
          <w:rFonts w:ascii="Times New Roman" w:hAnsi="Times New Roman" w:eastAsia="方正仿宋_GBK" w:cs="Times New Roman"/>
          <w:sz w:val="32"/>
          <w:szCs w:val="32"/>
        </w:rPr>
        <w:t>亿元，增长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12.8</w:t>
      </w:r>
      <w:r>
        <w:rPr>
          <w:rFonts w:ascii="Times New Roman" w:hAnsi="Times New Roman" w:eastAsia="方正仿宋_GBK" w:cs="Times New Roman"/>
          <w:sz w:val="32"/>
          <w:szCs w:val="32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在限额以上法人企业商品零售额中，粮油、食品类比上年增长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11.9</w:t>
      </w:r>
      <w:r>
        <w:rPr>
          <w:rFonts w:ascii="Times New Roman" w:hAnsi="Times New Roman" w:eastAsia="方正仿宋_GBK" w:cs="Times New Roman"/>
          <w:sz w:val="32"/>
          <w:szCs w:val="32"/>
        </w:rPr>
        <w:t>%，饮料类增长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19.6</w:t>
      </w:r>
      <w:r>
        <w:rPr>
          <w:rFonts w:ascii="Times New Roman" w:hAnsi="Times New Roman" w:eastAsia="方正仿宋_GBK" w:cs="Times New Roman"/>
          <w:sz w:val="32"/>
          <w:szCs w:val="32"/>
        </w:rPr>
        <w:t>%，烟酒类增长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19</w:t>
      </w:r>
      <w:r>
        <w:rPr>
          <w:rFonts w:ascii="Times New Roman" w:hAnsi="Times New Roman" w:eastAsia="方正仿宋_GBK" w:cs="Times New Roman"/>
          <w:sz w:val="32"/>
          <w:szCs w:val="32"/>
        </w:rPr>
        <w:t>%，服装、鞋帽、针纺织品类增长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11.7</w:t>
      </w:r>
      <w:r>
        <w:rPr>
          <w:rFonts w:ascii="Times New Roman" w:hAnsi="Times New Roman" w:eastAsia="方正仿宋_GBK" w:cs="Times New Roman"/>
          <w:sz w:val="32"/>
          <w:szCs w:val="32"/>
        </w:rPr>
        <w:t>%，化妆品类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下降26.1</w:t>
      </w:r>
      <w:r>
        <w:rPr>
          <w:rFonts w:ascii="Times New Roman" w:hAnsi="Times New Roman" w:eastAsia="方正仿宋_GBK" w:cs="Times New Roman"/>
          <w:sz w:val="32"/>
          <w:szCs w:val="32"/>
        </w:rPr>
        <w:t>%，金银珠宝类增长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10.6</w:t>
      </w:r>
      <w:r>
        <w:rPr>
          <w:rFonts w:ascii="Times New Roman" w:hAnsi="Times New Roman" w:eastAsia="方正仿宋_GBK" w:cs="Times New Roman"/>
          <w:sz w:val="32"/>
          <w:szCs w:val="32"/>
        </w:rPr>
        <w:t>%，日用品类增长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9</w:t>
      </w:r>
      <w:r>
        <w:rPr>
          <w:rFonts w:ascii="Times New Roman" w:hAnsi="Times New Roman" w:eastAsia="方正仿宋_GBK" w:cs="Times New Roman"/>
          <w:sz w:val="32"/>
          <w:szCs w:val="32"/>
        </w:rPr>
        <w:t>%，文化办公用品类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下降55.4</w:t>
      </w:r>
      <w:r>
        <w:rPr>
          <w:rFonts w:ascii="Times New Roman" w:hAnsi="Times New Roman" w:eastAsia="方正仿宋_GBK" w:cs="Times New Roman"/>
          <w:sz w:val="32"/>
          <w:szCs w:val="32"/>
        </w:rPr>
        <w:t>%，家用电器和音像器材类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下降19.9</w:t>
      </w:r>
      <w:r>
        <w:rPr>
          <w:rFonts w:ascii="Times New Roman" w:hAnsi="Times New Roman" w:eastAsia="方正仿宋_GBK" w:cs="Times New Roman"/>
          <w:sz w:val="32"/>
          <w:szCs w:val="32"/>
        </w:rPr>
        <w:t>%，中西药材类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下降13.6</w:t>
      </w:r>
      <w:r>
        <w:rPr>
          <w:rFonts w:ascii="Times New Roman" w:hAnsi="Times New Roman" w:eastAsia="方正仿宋_GBK" w:cs="Times New Roman"/>
          <w:sz w:val="32"/>
          <w:szCs w:val="32"/>
        </w:rPr>
        <w:t>%，家具类下降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19.5</w:t>
      </w:r>
      <w:r>
        <w:rPr>
          <w:rFonts w:ascii="Times New Roman" w:hAnsi="Times New Roman" w:eastAsia="方正仿宋_GBK" w:cs="Times New Roman"/>
          <w:sz w:val="32"/>
          <w:szCs w:val="32"/>
        </w:rPr>
        <w:t>%，通信器材类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下降38.7</w:t>
      </w:r>
      <w:r>
        <w:rPr>
          <w:rFonts w:ascii="Times New Roman" w:hAnsi="Times New Roman" w:eastAsia="方正仿宋_GBK" w:cs="Times New Roman"/>
          <w:sz w:val="32"/>
          <w:szCs w:val="32"/>
        </w:rPr>
        <w:t>%，石油及制品类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增长16.6</w:t>
      </w:r>
      <w:r>
        <w:rPr>
          <w:rFonts w:ascii="Times New Roman" w:hAnsi="Times New Roman" w:eastAsia="方正仿宋_GBK" w:cs="Times New Roman"/>
          <w:sz w:val="32"/>
          <w:szCs w:val="32"/>
        </w:rPr>
        <w:t>%，建筑及装潢材料类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下降40.5</w:t>
      </w:r>
      <w:r>
        <w:rPr>
          <w:rFonts w:ascii="Times New Roman" w:hAnsi="Times New Roman" w:eastAsia="方正仿宋_GBK" w:cs="Times New Roman"/>
          <w:sz w:val="32"/>
          <w:szCs w:val="32"/>
        </w:rPr>
        <w:t>%，汽车类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下降14.7</w:t>
      </w:r>
      <w:r>
        <w:rPr>
          <w:rFonts w:ascii="Times New Roman" w:hAnsi="Times New Roman" w:eastAsia="方正仿宋_GBK" w:cs="Times New Roman"/>
          <w:sz w:val="32"/>
          <w:szCs w:val="32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方正黑体_GBK" w:cs="Times New Roman"/>
          <w:sz w:val="32"/>
          <w:szCs w:val="32"/>
        </w:rPr>
      </w:pPr>
      <w:r>
        <w:rPr>
          <w:rFonts w:ascii="Times New Roman" w:hAnsi="Times New Roman" w:eastAsia="方正黑体_GBK" w:cs="Times New Roman"/>
          <w:sz w:val="32"/>
          <w:szCs w:val="32"/>
        </w:rPr>
        <w:t>六、交通、邮电和旅游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全年交通运输、仓储和邮政业增加值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7.16</w:t>
      </w:r>
      <w:r>
        <w:rPr>
          <w:rFonts w:ascii="Times New Roman" w:hAnsi="Times New Roman" w:eastAsia="方正仿宋_GBK" w:cs="Times New Roman"/>
          <w:sz w:val="32"/>
          <w:szCs w:val="32"/>
        </w:rPr>
        <w:t>亿元，比上年增长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5.7</w:t>
      </w:r>
      <w:r>
        <w:rPr>
          <w:rFonts w:ascii="Times New Roman" w:hAnsi="Times New Roman" w:eastAsia="方正仿宋_GBK" w:cs="Times New Roman"/>
          <w:sz w:val="32"/>
          <w:szCs w:val="32"/>
        </w:rPr>
        <w:t>%，占地区生产总值的2.9%。公路通车总里程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3910</w:t>
      </w:r>
      <w:r>
        <w:rPr>
          <w:rFonts w:ascii="Times New Roman" w:hAnsi="Times New Roman" w:eastAsia="方正仿宋_GBK" w:cs="Times New Roman"/>
          <w:sz w:val="32"/>
          <w:szCs w:val="32"/>
        </w:rPr>
        <w:t>公里。公路货物运输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487</w:t>
      </w:r>
      <w:r>
        <w:rPr>
          <w:rFonts w:ascii="Times New Roman" w:hAnsi="Times New Roman" w:eastAsia="方正仿宋_GBK" w:cs="Times New Roman"/>
          <w:sz w:val="32"/>
          <w:szCs w:val="32"/>
        </w:rPr>
        <w:t>万吨，比上年增长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12</w:t>
      </w:r>
      <w:r>
        <w:rPr>
          <w:rFonts w:ascii="Times New Roman" w:hAnsi="Times New Roman" w:eastAsia="方正仿宋_GBK" w:cs="Times New Roman"/>
          <w:sz w:val="32"/>
          <w:szCs w:val="32"/>
        </w:rPr>
        <w:t>%，公路货运周转量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48597</w:t>
      </w:r>
      <w:r>
        <w:rPr>
          <w:rFonts w:ascii="Times New Roman" w:hAnsi="Times New Roman" w:eastAsia="方正仿宋_GBK" w:cs="Times New Roman"/>
          <w:sz w:val="32"/>
          <w:szCs w:val="32"/>
        </w:rPr>
        <w:t>万吨公里，增长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7.4</w:t>
      </w:r>
      <w:r>
        <w:rPr>
          <w:rFonts w:ascii="Times New Roman" w:hAnsi="Times New Roman" w:eastAsia="方正仿宋_GBK" w:cs="Times New Roman"/>
          <w:sz w:val="32"/>
          <w:szCs w:val="32"/>
        </w:rPr>
        <w:t>%。公路旅客运输量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1218</w:t>
      </w:r>
      <w:r>
        <w:rPr>
          <w:rFonts w:ascii="Times New Roman" w:hAnsi="Times New Roman" w:eastAsia="方正仿宋_GBK" w:cs="Times New Roman"/>
          <w:sz w:val="32"/>
          <w:szCs w:val="32"/>
        </w:rPr>
        <w:t>万人，增长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10.9</w:t>
      </w:r>
      <w:r>
        <w:rPr>
          <w:rFonts w:ascii="Times New Roman" w:hAnsi="Times New Roman" w:eastAsia="方正仿宋_GBK" w:cs="Times New Roman"/>
          <w:sz w:val="32"/>
          <w:szCs w:val="32"/>
        </w:rPr>
        <w:t>%，公路客运周转量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54444</w:t>
      </w:r>
      <w:r>
        <w:rPr>
          <w:rFonts w:ascii="Times New Roman" w:hAnsi="Times New Roman" w:eastAsia="方正仿宋_GBK" w:cs="Times New Roman"/>
          <w:sz w:val="32"/>
          <w:szCs w:val="32"/>
        </w:rPr>
        <w:t>万人公里，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增长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4.8</w:t>
      </w:r>
      <w:r>
        <w:rPr>
          <w:rFonts w:ascii="Times New Roman" w:hAnsi="Times New Roman" w:eastAsia="方正仿宋_GBK" w:cs="Times New Roman"/>
          <w:sz w:val="32"/>
          <w:szCs w:val="32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年末开通航线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10条，全年飞机起降4923架次，</w:t>
      </w:r>
      <w:r>
        <w:rPr>
          <w:rFonts w:ascii="Times New Roman" w:hAnsi="Times New Roman" w:eastAsia="方正仿宋_GBK" w:cs="Times New Roman"/>
          <w:sz w:val="32"/>
          <w:szCs w:val="32"/>
        </w:rPr>
        <w:t>旅客吞吐量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40.99</w:t>
      </w:r>
      <w:r>
        <w:rPr>
          <w:rFonts w:ascii="Times New Roman" w:hAnsi="Times New Roman" w:eastAsia="方正仿宋_GBK" w:cs="Times New Roman"/>
          <w:sz w:val="32"/>
          <w:szCs w:val="32"/>
        </w:rPr>
        <w:t>万人次，增长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42</w:t>
      </w:r>
      <w:r>
        <w:rPr>
          <w:rFonts w:ascii="Times New Roman" w:hAnsi="Times New Roman" w:eastAsia="方正仿宋_GBK" w:cs="Times New Roman"/>
          <w:sz w:val="32"/>
          <w:szCs w:val="32"/>
        </w:rPr>
        <w:t>%，邮货吞吐量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163.4</w:t>
      </w:r>
      <w:r>
        <w:rPr>
          <w:rFonts w:ascii="Times New Roman" w:hAnsi="Times New Roman" w:eastAsia="方正仿宋_GBK" w:cs="Times New Roman"/>
          <w:sz w:val="32"/>
          <w:szCs w:val="32"/>
        </w:rPr>
        <w:t>吨，增长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35.6</w:t>
      </w:r>
      <w:r>
        <w:rPr>
          <w:rFonts w:ascii="Times New Roman" w:hAnsi="Times New Roman" w:eastAsia="方正仿宋_GBK" w:cs="Times New Roman"/>
          <w:sz w:val="32"/>
          <w:szCs w:val="32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邮政业务总量增长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30.2</w:t>
      </w:r>
      <w:r>
        <w:rPr>
          <w:rFonts w:ascii="Times New Roman" w:hAnsi="Times New Roman" w:eastAsia="方正仿宋_GBK" w:cs="Times New Roman"/>
          <w:sz w:val="32"/>
          <w:szCs w:val="32"/>
        </w:rPr>
        <w:t>%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电信业务总量增长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153.5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%。年末固定电话用户5.7万户，移动电话用户56万户，互联网用户17.6万户。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全年接待游客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2064.24</w:t>
      </w:r>
      <w:r>
        <w:rPr>
          <w:rFonts w:ascii="Times New Roman" w:hAnsi="Times New Roman" w:eastAsia="方正仿宋_GBK" w:cs="Times New Roman"/>
          <w:sz w:val="32"/>
          <w:szCs w:val="32"/>
        </w:rPr>
        <w:t>万人次，比上年增长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41.4</w:t>
      </w:r>
      <w:r>
        <w:rPr>
          <w:rFonts w:ascii="Times New Roman" w:hAnsi="Times New Roman" w:eastAsia="方正仿宋_GBK" w:cs="Times New Roman"/>
          <w:sz w:val="32"/>
          <w:szCs w:val="32"/>
        </w:rPr>
        <w:t>%。其中，接待过夜游客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450.4</w:t>
      </w:r>
      <w:r>
        <w:rPr>
          <w:rFonts w:ascii="Times New Roman" w:hAnsi="Times New Roman" w:eastAsia="方正仿宋_GBK" w:cs="Times New Roman"/>
          <w:sz w:val="32"/>
          <w:szCs w:val="32"/>
        </w:rPr>
        <w:t>万人次，增长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27.4</w:t>
      </w:r>
      <w:r>
        <w:rPr>
          <w:rFonts w:ascii="Times New Roman" w:hAnsi="Times New Roman" w:eastAsia="方正仿宋_GBK" w:cs="Times New Roman"/>
          <w:sz w:val="32"/>
          <w:szCs w:val="32"/>
        </w:rPr>
        <w:t>%；接待一日游游客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1613.84</w:t>
      </w:r>
      <w:r>
        <w:rPr>
          <w:rFonts w:ascii="Times New Roman" w:hAnsi="Times New Roman" w:eastAsia="方正仿宋_GBK" w:cs="Times New Roman"/>
          <w:sz w:val="32"/>
          <w:szCs w:val="32"/>
        </w:rPr>
        <w:t>万人次，增长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45.87</w:t>
      </w:r>
      <w:r>
        <w:rPr>
          <w:rFonts w:ascii="Times New Roman" w:hAnsi="Times New Roman" w:eastAsia="方正仿宋_GBK" w:cs="Times New Roman"/>
          <w:sz w:val="32"/>
          <w:szCs w:val="32"/>
        </w:rPr>
        <w:t>%。全年旅游总收入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107.4</w:t>
      </w:r>
      <w:r>
        <w:rPr>
          <w:rFonts w:ascii="Times New Roman" w:hAnsi="Times New Roman" w:eastAsia="方正仿宋_GBK" w:cs="Times New Roman"/>
          <w:sz w:val="32"/>
          <w:szCs w:val="32"/>
        </w:rPr>
        <w:t>亿元，比上年增长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70.8</w:t>
      </w:r>
      <w:r>
        <w:rPr>
          <w:rFonts w:ascii="Times New Roman" w:hAnsi="Times New Roman" w:eastAsia="方正仿宋_GBK" w:cs="Times New Roman"/>
          <w:sz w:val="32"/>
          <w:szCs w:val="32"/>
        </w:rPr>
        <w:t>%。其中，过夜游收入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21.79</w:t>
      </w:r>
      <w:r>
        <w:rPr>
          <w:rFonts w:ascii="Times New Roman" w:hAnsi="Times New Roman" w:eastAsia="方正仿宋_GBK" w:cs="Times New Roman"/>
          <w:sz w:val="32"/>
          <w:szCs w:val="32"/>
        </w:rPr>
        <w:t>亿元，增长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33.4</w:t>
      </w:r>
      <w:r>
        <w:rPr>
          <w:rFonts w:ascii="Times New Roman" w:hAnsi="Times New Roman" w:eastAsia="方正仿宋_GBK" w:cs="Times New Roman"/>
          <w:sz w:val="32"/>
          <w:szCs w:val="32"/>
        </w:rPr>
        <w:t>%；一日游收入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85.61</w:t>
      </w:r>
      <w:r>
        <w:rPr>
          <w:rFonts w:ascii="Times New Roman" w:hAnsi="Times New Roman" w:eastAsia="方正仿宋_GBK" w:cs="Times New Roman"/>
          <w:sz w:val="32"/>
          <w:szCs w:val="32"/>
        </w:rPr>
        <w:t>亿元，增长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83.9</w:t>
      </w:r>
      <w:r>
        <w:rPr>
          <w:rFonts w:ascii="Times New Roman" w:hAnsi="Times New Roman" w:eastAsia="方正仿宋_GBK" w:cs="Times New Roman"/>
          <w:sz w:val="32"/>
          <w:szCs w:val="32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方正黑体_GBK" w:cs="Times New Roman"/>
          <w:sz w:val="32"/>
          <w:szCs w:val="32"/>
        </w:rPr>
      </w:pPr>
      <w:r>
        <w:rPr>
          <w:rFonts w:ascii="Times New Roman" w:hAnsi="Times New Roman" w:eastAsia="方正黑体_GBK" w:cs="Times New Roman"/>
          <w:sz w:val="32"/>
          <w:szCs w:val="32"/>
        </w:rPr>
        <w:t>七、金融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全年金融业增加值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21.43</w:t>
      </w:r>
      <w:r>
        <w:rPr>
          <w:rFonts w:ascii="Times New Roman" w:hAnsi="Times New Roman" w:eastAsia="方正仿宋_GBK" w:cs="Times New Roman"/>
          <w:sz w:val="32"/>
          <w:szCs w:val="32"/>
        </w:rPr>
        <w:t>亿元，比上年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下降1.8</w:t>
      </w:r>
      <w:r>
        <w:rPr>
          <w:rFonts w:ascii="Times New Roman" w:hAnsi="Times New Roman" w:eastAsia="方正仿宋_GBK" w:cs="Times New Roman"/>
          <w:sz w:val="32"/>
          <w:szCs w:val="32"/>
        </w:rPr>
        <w:t>%，占地区生产总值的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8.7</w:t>
      </w:r>
      <w:r>
        <w:rPr>
          <w:rFonts w:ascii="Times New Roman" w:hAnsi="Times New Roman" w:eastAsia="方正仿宋_GBK" w:cs="Times New Roman"/>
          <w:sz w:val="32"/>
          <w:szCs w:val="32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年末金融机构存款余额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260.78</w:t>
      </w:r>
      <w:r>
        <w:rPr>
          <w:rFonts w:ascii="Times New Roman" w:hAnsi="Times New Roman" w:eastAsia="方正仿宋_GBK" w:cs="Times New Roman"/>
          <w:sz w:val="32"/>
          <w:szCs w:val="32"/>
        </w:rPr>
        <w:t>亿元，比上年末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增长15.2</w:t>
      </w:r>
      <w:r>
        <w:rPr>
          <w:rFonts w:ascii="Times New Roman" w:hAnsi="Times New Roman" w:eastAsia="方正仿宋_GBK" w:cs="Times New Roman"/>
          <w:sz w:val="32"/>
          <w:szCs w:val="32"/>
        </w:rPr>
        <w:t>%，其中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ascii="Times New Roman" w:hAnsi="Times New Roman" w:eastAsia="方正仿宋_GBK" w:cs="Times New Roman"/>
          <w:sz w:val="32"/>
          <w:szCs w:val="32"/>
        </w:rPr>
        <w:t>住户存款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153.68</w:t>
      </w:r>
      <w:r>
        <w:rPr>
          <w:rFonts w:ascii="Times New Roman" w:hAnsi="Times New Roman" w:eastAsia="方正仿宋_GBK" w:cs="Times New Roman"/>
          <w:sz w:val="32"/>
          <w:szCs w:val="32"/>
        </w:rPr>
        <w:t>亿元，增长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11.6</w:t>
      </w:r>
      <w:r>
        <w:rPr>
          <w:rFonts w:ascii="Times New Roman" w:hAnsi="Times New Roman" w:eastAsia="方正仿宋_GBK" w:cs="Times New Roman"/>
          <w:sz w:val="32"/>
          <w:szCs w:val="32"/>
        </w:rPr>
        <w:t>%。年末金融机构贷款余额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250.96</w:t>
      </w:r>
      <w:r>
        <w:rPr>
          <w:rFonts w:ascii="Times New Roman" w:hAnsi="Times New Roman" w:eastAsia="方正仿宋_GBK" w:cs="Times New Roman"/>
          <w:sz w:val="32"/>
          <w:szCs w:val="32"/>
        </w:rPr>
        <w:t>亿元，比上年末增长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5.3</w:t>
      </w:r>
      <w:r>
        <w:rPr>
          <w:rFonts w:ascii="Times New Roman" w:hAnsi="Times New Roman" w:eastAsia="方正仿宋_GBK" w:cs="Times New Roman"/>
          <w:sz w:val="32"/>
          <w:szCs w:val="32"/>
        </w:rPr>
        <w:t>%。其中，短期贷款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37.74</w:t>
      </w:r>
      <w:r>
        <w:rPr>
          <w:rFonts w:ascii="Times New Roman" w:hAnsi="Times New Roman" w:eastAsia="方正仿宋_GBK" w:cs="Times New Roman"/>
          <w:sz w:val="32"/>
          <w:szCs w:val="32"/>
        </w:rPr>
        <w:t>亿元，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下降30.8</w:t>
      </w:r>
      <w:r>
        <w:rPr>
          <w:rFonts w:ascii="Times New Roman" w:hAnsi="Times New Roman" w:eastAsia="方正仿宋_GBK" w:cs="Times New Roman"/>
          <w:sz w:val="32"/>
          <w:szCs w:val="32"/>
        </w:rPr>
        <w:t>%；中长期贷款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210.89</w:t>
      </w:r>
      <w:r>
        <w:rPr>
          <w:rFonts w:ascii="Times New Roman" w:hAnsi="Times New Roman" w:eastAsia="方正仿宋_GBK" w:cs="Times New Roman"/>
          <w:sz w:val="32"/>
          <w:szCs w:val="32"/>
        </w:rPr>
        <w:t>亿元，增长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15.3</w:t>
      </w:r>
      <w:r>
        <w:rPr>
          <w:rFonts w:ascii="Times New Roman" w:hAnsi="Times New Roman" w:eastAsia="方正仿宋_GBK" w:cs="Times New Roman"/>
          <w:sz w:val="32"/>
          <w:szCs w:val="32"/>
        </w:rPr>
        <w:t>%。</w:t>
      </w:r>
    </w:p>
    <w:p>
      <w:pPr>
        <w:spacing w:line="580" w:lineRule="exact"/>
        <w:jc w:val="center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表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 2018年年末金融机构存贷款余额</w:t>
      </w:r>
    </w:p>
    <w:tbl>
      <w:tblPr>
        <w:tblStyle w:val="8"/>
        <w:tblW w:w="7831" w:type="dxa"/>
        <w:jc w:val="center"/>
        <w:tblInd w:w="-40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56"/>
        <w:gridCol w:w="2200"/>
        <w:gridCol w:w="247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15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宋体" w:eastAsia="宋体" w:cs="Times New Roman"/>
                <w:b/>
                <w:bCs/>
                <w:color w:val="000000"/>
                <w:kern w:val="0"/>
                <w:sz w:val="22"/>
              </w:rPr>
              <w:t>指标</w:t>
            </w:r>
          </w:p>
        </w:tc>
        <w:tc>
          <w:tcPr>
            <w:tcW w:w="220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宋体" w:eastAsia="宋体" w:cs="Times New Roman"/>
                <w:b/>
                <w:bCs/>
                <w:color w:val="000000"/>
                <w:kern w:val="0"/>
                <w:sz w:val="22"/>
              </w:rPr>
              <w:t>年末数（亿元）</w:t>
            </w:r>
          </w:p>
        </w:tc>
        <w:tc>
          <w:tcPr>
            <w:tcW w:w="247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宋体" w:eastAsia="宋体" w:cs="Times New Roman"/>
                <w:b/>
                <w:bCs/>
                <w:color w:val="000000"/>
                <w:kern w:val="0"/>
                <w:sz w:val="22"/>
              </w:rPr>
              <w:t>比上年增长（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  <w:t>%</w:t>
            </w:r>
            <w:r>
              <w:rPr>
                <w:rFonts w:ascii="Times New Roman" w:hAnsi="宋体" w:eastAsia="宋体" w:cs="Times New Roman"/>
                <w:b/>
                <w:bCs/>
                <w:color w:val="000000"/>
                <w:kern w:val="0"/>
                <w:sz w:val="22"/>
              </w:rPr>
              <w:t>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15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宋体" w:eastAsia="宋体" w:cs="Times New Roman"/>
                <w:kern w:val="0"/>
                <w:sz w:val="22"/>
              </w:rPr>
              <w:t>金融机构存贷款余额</w:t>
            </w:r>
          </w:p>
        </w:tc>
        <w:tc>
          <w:tcPr>
            <w:tcW w:w="220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511.74</w:t>
            </w:r>
          </w:p>
        </w:tc>
        <w:tc>
          <w:tcPr>
            <w:tcW w:w="247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10.1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156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宋体" w:eastAsia="宋体" w:cs="Times New Roman"/>
                <w:kern w:val="0"/>
                <w:sz w:val="22"/>
              </w:rPr>
              <w:t>金融机构各项存款余额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260.78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15.2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156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 xml:space="preserve">      </w:t>
            </w:r>
            <w:r>
              <w:rPr>
                <w:rFonts w:ascii="Times New Roman" w:hAnsi="宋体" w:eastAsia="宋体" w:cs="Times New Roman"/>
                <w:kern w:val="0"/>
                <w:sz w:val="22"/>
              </w:rPr>
              <w:t>住户存款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153.68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11.6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156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 xml:space="preserve">      </w:t>
            </w:r>
            <w:r>
              <w:rPr>
                <w:rFonts w:ascii="Times New Roman" w:hAnsi="宋体" w:eastAsia="宋体" w:cs="Times New Roman"/>
                <w:kern w:val="0"/>
                <w:sz w:val="22"/>
              </w:rPr>
              <w:t>非金融企业存款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70.52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10.4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156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宋体" w:eastAsia="宋体" w:cs="Times New Roman"/>
                <w:kern w:val="0"/>
                <w:sz w:val="22"/>
              </w:rPr>
              <w:t>金融机构各项贷款余额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250.96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5.3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156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 xml:space="preserve">      </w:t>
            </w:r>
            <w:r>
              <w:rPr>
                <w:rFonts w:ascii="Times New Roman" w:hAnsi="宋体" w:eastAsia="宋体" w:cs="Times New Roman"/>
                <w:kern w:val="0"/>
                <w:sz w:val="22"/>
              </w:rPr>
              <w:t>短期贷款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37.74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-30.8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1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 xml:space="preserve">      </w:t>
            </w:r>
            <w:r>
              <w:rPr>
                <w:rFonts w:ascii="Times New Roman" w:hAnsi="宋体" w:eastAsia="宋体" w:cs="Times New Roman"/>
                <w:kern w:val="0"/>
                <w:sz w:val="22"/>
              </w:rPr>
              <w:t>中长期贷款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210.89</w:t>
            </w: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15.3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全年保费收入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10.58</w:t>
      </w:r>
      <w:r>
        <w:rPr>
          <w:rFonts w:ascii="Times New Roman" w:hAnsi="Times New Roman" w:eastAsia="方正仿宋_GBK" w:cs="Times New Roman"/>
          <w:sz w:val="32"/>
          <w:szCs w:val="32"/>
        </w:rPr>
        <w:t>亿元。其中，财产险保费收入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2.75</w:t>
      </w:r>
      <w:r>
        <w:rPr>
          <w:rFonts w:ascii="Times New Roman" w:hAnsi="Times New Roman" w:eastAsia="方正仿宋_GBK" w:cs="Times New Roman"/>
          <w:sz w:val="32"/>
          <w:szCs w:val="32"/>
        </w:rPr>
        <w:t>亿元；人身险保费收入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7.83</w:t>
      </w:r>
      <w:r>
        <w:rPr>
          <w:rFonts w:ascii="Times New Roman" w:hAnsi="Times New Roman" w:eastAsia="方正仿宋_GBK" w:cs="Times New Roman"/>
          <w:sz w:val="32"/>
          <w:szCs w:val="32"/>
        </w:rPr>
        <w:t>亿元。各保险公司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财产险</w:t>
      </w:r>
      <w:r>
        <w:rPr>
          <w:rFonts w:ascii="Times New Roman" w:hAnsi="Times New Roman" w:eastAsia="方正仿宋_GBK" w:cs="Times New Roman"/>
          <w:sz w:val="32"/>
          <w:szCs w:val="32"/>
        </w:rPr>
        <w:t>赔付保险金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1.5</w:t>
      </w:r>
      <w:r>
        <w:rPr>
          <w:rFonts w:ascii="Times New Roman" w:hAnsi="Times New Roman" w:eastAsia="方正仿宋_GBK" w:cs="Times New Roman"/>
          <w:sz w:val="32"/>
          <w:szCs w:val="32"/>
        </w:rPr>
        <w:t>亿元。</w:t>
      </w:r>
    </w:p>
    <w:p>
      <w:pPr>
        <w:spacing w:line="580" w:lineRule="exact"/>
        <w:ind w:firstLine="640" w:firstLineChars="200"/>
        <w:rPr>
          <w:rFonts w:ascii="Times New Roman" w:hAnsi="Times New Roman" w:eastAsia="方正黑体_GBK" w:cs="Times New Roman"/>
          <w:sz w:val="32"/>
          <w:szCs w:val="32"/>
        </w:rPr>
      </w:pPr>
      <w:r>
        <w:rPr>
          <w:rFonts w:ascii="Times New Roman" w:hAnsi="Times New Roman" w:eastAsia="方正黑体_GBK" w:cs="Times New Roman"/>
          <w:sz w:val="32"/>
          <w:szCs w:val="32"/>
        </w:rPr>
        <w:t>八、人民生活和社会保障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全区常住居民人均可支配收入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21935</w:t>
      </w:r>
      <w:r>
        <w:rPr>
          <w:rFonts w:ascii="Times New Roman" w:hAnsi="Times New Roman" w:eastAsia="方正仿宋_GBK" w:cs="Times New Roman"/>
          <w:sz w:val="32"/>
          <w:szCs w:val="32"/>
        </w:rPr>
        <w:t>元，比上年增加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2110</w:t>
      </w:r>
      <w:r>
        <w:rPr>
          <w:rFonts w:ascii="Times New Roman" w:hAnsi="Times New Roman" w:eastAsia="方正仿宋_GBK" w:cs="Times New Roman"/>
          <w:sz w:val="32"/>
          <w:szCs w:val="32"/>
        </w:rPr>
        <w:t>元，增长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10.6</w:t>
      </w:r>
      <w:r>
        <w:rPr>
          <w:rFonts w:ascii="Times New Roman" w:hAnsi="Times New Roman" w:eastAsia="方正仿宋_GBK" w:cs="Times New Roman"/>
          <w:sz w:val="32"/>
          <w:szCs w:val="32"/>
        </w:rPr>
        <w:t>%。全区常住居民人均消费支出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1553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3</w:t>
      </w:r>
      <w:r>
        <w:rPr>
          <w:rFonts w:ascii="Times New Roman" w:hAnsi="Times New Roman" w:eastAsia="方正仿宋_GBK" w:cs="Times New Roman"/>
          <w:sz w:val="32"/>
          <w:szCs w:val="32"/>
        </w:rPr>
        <w:t>元，比上年增加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142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6</w:t>
      </w:r>
      <w:r>
        <w:rPr>
          <w:rFonts w:ascii="Times New Roman" w:hAnsi="Times New Roman" w:eastAsia="方正仿宋_GBK" w:cs="Times New Roman"/>
          <w:sz w:val="32"/>
          <w:szCs w:val="32"/>
        </w:rPr>
        <w:t>元，增长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10.3</w:t>
      </w:r>
      <w:r>
        <w:rPr>
          <w:rFonts w:ascii="Times New Roman" w:hAnsi="Times New Roman" w:eastAsia="方正仿宋_GBK" w:cs="Times New Roman"/>
          <w:sz w:val="32"/>
          <w:szCs w:val="32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全年城镇常住居民人均可支配收入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32435</w:t>
      </w:r>
      <w:r>
        <w:rPr>
          <w:rFonts w:ascii="Times New Roman" w:hAnsi="Times New Roman" w:eastAsia="方正仿宋_GBK" w:cs="Times New Roman"/>
          <w:sz w:val="32"/>
          <w:szCs w:val="32"/>
        </w:rPr>
        <w:t>元，比上年增加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262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3</w:t>
      </w:r>
      <w:r>
        <w:rPr>
          <w:rFonts w:ascii="Times New Roman" w:hAnsi="Times New Roman" w:eastAsia="方正仿宋_GBK" w:cs="Times New Roman"/>
          <w:sz w:val="32"/>
          <w:szCs w:val="32"/>
        </w:rPr>
        <w:t>元，增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长8.8</w:t>
      </w:r>
      <w:r>
        <w:rPr>
          <w:rFonts w:ascii="Times New Roman" w:hAnsi="Times New Roman" w:eastAsia="方正仿宋_GBK" w:cs="Times New Roman"/>
          <w:sz w:val="32"/>
          <w:szCs w:val="32"/>
        </w:rPr>
        <w:t>%。其中工资性收入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15706</w:t>
      </w:r>
      <w:r>
        <w:rPr>
          <w:rFonts w:ascii="Times New Roman" w:hAnsi="Times New Roman" w:eastAsia="方正仿宋_GBK" w:cs="Times New Roman"/>
          <w:sz w:val="32"/>
          <w:szCs w:val="32"/>
        </w:rPr>
        <w:t>元，增长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8.3</w:t>
      </w:r>
      <w:r>
        <w:rPr>
          <w:rFonts w:ascii="Times New Roman" w:hAnsi="Times New Roman" w:eastAsia="方正仿宋_GBK" w:cs="Times New Roman"/>
          <w:sz w:val="32"/>
          <w:szCs w:val="32"/>
        </w:rPr>
        <w:t>%；经营净收入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10305</w:t>
      </w:r>
      <w:r>
        <w:rPr>
          <w:rFonts w:ascii="Times New Roman" w:hAnsi="Times New Roman" w:eastAsia="方正仿宋_GBK" w:cs="Times New Roman"/>
          <w:sz w:val="32"/>
          <w:szCs w:val="32"/>
        </w:rPr>
        <w:t>元，增长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4.4</w:t>
      </w:r>
      <w:r>
        <w:rPr>
          <w:rFonts w:ascii="Times New Roman" w:hAnsi="Times New Roman" w:eastAsia="方正仿宋_GBK" w:cs="Times New Roman"/>
          <w:sz w:val="32"/>
          <w:szCs w:val="32"/>
        </w:rPr>
        <w:t>%；财产净收入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2771</w:t>
      </w:r>
      <w:r>
        <w:rPr>
          <w:rFonts w:ascii="Times New Roman" w:hAnsi="Times New Roman" w:eastAsia="方正仿宋_GBK" w:cs="Times New Roman"/>
          <w:sz w:val="32"/>
          <w:szCs w:val="32"/>
        </w:rPr>
        <w:t>元，增长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9.1</w:t>
      </w:r>
      <w:r>
        <w:rPr>
          <w:rFonts w:ascii="Times New Roman" w:hAnsi="Times New Roman" w:eastAsia="方正仿宋_GBK" w:cs="Times New Roman"/>
          <w:sz w:val="32"/>
          <w:szCs w:val="32"/>
        </w:rPr>
        <w:t>%；转移净收入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365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3</w:t>
      </w:r>
      <w:r>
        <w:rPr>
          <w:rFonts w:ascii="Times New Roman" w:hAnsi="Times New Roman" w:eastAsia="方正仿宋_GBK" w:cs="Times New Roman"/>
          <w:sz w:val="32"/>
          <w:szCs w:val="32"/>
        </w:rPr>
        <w:t>元，增长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26.0</w:t>
      </w:r>
      <w:r>
        <w:rPr>
          <w:rFonts w:ascii="Times New Roman" w:hAnsi="Times New Roman" w:eastAsia="方正仿宋_GBK" w:cs="Times New Roman"/>
          <w:sz w:val="32"/>
          <w:szCs w:val="32"/>
        </w:rPr>
        <w:t>%。全年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城镇</w:t>
      </w:r>
      <w:r>
        <w:rPr>
          <w:rFonts w:ascii="Times New Roman" w:hAnsi="Times New Roman" w:eastAsia="方正仿宋_GBK" w:cs="Times New Roman"/>
          <w:sz w:val="32"/>
          <w:szCs w:val="32"/>
        </w:rPr>
        <w:t>常住居民人均消费支出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21705</w:t>
      </w:r>
      <w:r>
        <w:rPr>
          <w:rFonts w:ascii="Times New Roman" w:hAnsi="Times New Roman" w:eastAsia="方正仿宋_GBK" w:cs="Times New Roman"/>
          <w:sz w:val="32"/>
          <w:szCs w:val="32"/>
        </w:rPr>
        <w:t>元，比上年增加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167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6</w:t>
      </w:r>
      <w:r>
        <w:rPr>
          <w:rFonts w:ascii="Times New Roman" w:hAnsi="Times New Roman" w:eastAsia="方正仿宋_GBK" w:cs="Times New Roman"/>
          <w:sz w:val="32"/>
          <w:szCs w:val="32"/>
        </w:rPr>
        <w:t>元，增长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8.4</w:t>
      </w:r>
      <w:r>
        <w:rPr>
          <w:rFonts w:ascii="Times New Roman" w:hAnsi="Times New Roman" w:eastAsia="方正仿宋_GBK" w:cs="Times New Roman"/>
          <w:sz w:val="32"/>
          <w:szCs w:val="32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全年农村常住居民人均可支配收入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11806</w:t>
      </w:r>
      <w:r>
        <w:rPr>
          <w:rFonts w:ascii="Times New Roman" w:hAnsi="Times New Roman" w:eastAsia="方正仿宋_GBK" w:cs="Times New Roman"/>
          <w:sz w:val="32"/>
          <w:szCs w:val="32"/>
        </w:rPr>
        <w:t>元，比上年增加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1014</w:t>
      </w:r>
      <w:r>
        <w:rPr>
          <w:rFonts w:ascii="Times New Roman" w:hAnsi="Times New Roman" w:eastAsia="方正仿宋_GBK" w:cs="Times New Roman"/>
          <w:sz w:val="32"/>
          <w:szCs w:val="32"/>
        </w:rPr>
        <w:t>元，增长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9.4</w:t>
      </w:r>
      <w:r>
        <w:rPr>
          <w:rFonts w:ascii="Times New Roman" w:hAnsi="Times New Roman" w:eastAsia="方正仿宋_GBK" w:cs="Times New Roman"/>
          <w:sz w:val="32"/>
          <w:szCs w:val="32"/>
        </w:rPr>
        <w:t>%。其中：工资性收入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3339</w:t>
      </w:r>
      <w:r>
        <w:rPr>
          <w:rFonts w:ascii="Times New Roman" w:hAnsi="Times New Roman" w:eastAsia="方正仿宋_GBK" w:cs="Times New Roman"/>
          <w:sz w:val="32"/>
          <w:szCs w:val="32"/>
        </w:rPr>
        <w:t>元，增长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10.2</w:t>
      </w:r>
      <w:r>
        <w:rPr>
          <w:rFonts w:ascii="Times New Roman" w:hAnsi="Times New Roman" w:eastAsia="方正仿宋_GBK" w:cs="Times New Roman"/>
          <w:sz w:val="32"/>
          <w:szCs w:val="32"/>
        </w:rPr>
        <w:t>%；经营净收入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3780</w:t>
      </w:r>
      <w:r>
        <w:rPr>
          <w:rFonts w:ascii="Times New Roman" w:hAnsi="Times New Roman" w:eastAsia="方正仿宋_GBK" w:cs="Times New Roman"/>
          <w:sz w:val="32"/>
          <w:szCs w:val="32"/>
        </w:rPr>
        <w:t>元，增长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8.7</w:t>
      </w:r>
      <w:r>
        <w:rPr>
          <w:rFonts w:ascii="Times New Roman" w:hAnsi="Times New Roman" w:eastAsia="方正仿宋_GBK" w:cs="Times New Roman"/>
          <w:sz w:val="32"/>
          <w:szCs w:val="32"/>
        </w:rPr>
        <w:t>%；财产净收入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264</w:t>
      </w:r>
      <w:r>
        <w:rPr>
          <w:rFonts w:ascii="Times New Roman" w:hAnsi="Times New Roman" w:eastAsia="方正仿宋_GBK" w:cs="Times New Roman"/>
          <w:sz w:val="32"/>
          <w:szCs w:val="32"/>
        </w:rPr>
        <w:t>元，增长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9.1</w:t>
      </w:r>
      <w:r>
        <w:rPr>
          <w:rFonts w:ascii="Times New Roman" w:hAnsi="Times New Roman" w:eastAsia="方正仿宋_GBK" w:cs="Times New Roman"/>
          <w:sz w:val="32"/>
          <w:szCs w:val="32"/>
        </w:rPr>
        <w:t>%；转移净收入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4423</w:t>
      </w:r>
      <w:r>
        <w:rPr>
          <w:rFonts w:ascii="Times New Roman" w:hAnsi="Times New Roman" w:eastAsia="方正仿宋_GBK" w:cs="Times New Roman"/>
          <w:sz w:val="32"/>
          <w:szCs w:val="32"/>
        </w:rPr>
        <w:t>元，增长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9.4</w:t>
      </w:r>
      <w:r>
        <w:rPr>
          <w:rFonts w:ascii="Times New Roman" w:hAnsi="Times New Roman" w:eastAsia="方正仿宋_GBK" w:cs="Times New Roman"/>
          <w:sz w:val="32"/>
          <w:szCs w:val="32"/>
        </w:rPr>
        <w:t>%。农村常住居民人均生活消费支出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9578</w:t>
      </w:r>
      <w:r>
        <w:rPr>
          <w:rFonts w:ascii="Times New Roman" w:hAnsi="Times New Roman" w:eastAsia="方正仿宋_GBK" w:cs="Times New Roman"/>
          <w:sz w:val="32"/>
          <w:szCs w:val="32"/>
        </w:rPr>
        <w:t>元，比上年增加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87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9</w:t>
      </w:r>
      <w:r>
        <w:rPr>
          <w:rFonts w:ascii="Times New Roman" w:hAnsi="Times New Roman" w:eastAsia="方正仿宋_GBK" w:cs="Times New Roman"/>
          <w:sz w:val="32"/>
          <w:szCs w:val="32"/>
        </w:rPr>
        <w:t>元，增长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10.1</w:t>
      </w:r>
      <w:r>
        <w:rPr>
          <w:rFonts w:ascii="Times New Roman" w:hAnsi="Times New Roman" w:eastAsia="方正仿宋_GBK" w:cs="Times New Roman"/>
          <w:sz w:val="32"/>
          <w:szCs w:val="32"/>
        </w:rPr>
        <w:t>%。</w:t>
      </w:r>
    </w:p>
    <w:p>
      <w:pPr>
        <w:spacing w:line="580" w:lineRule="exact"/>
        <w:jc w:val="center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表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 2018年居民人均可支配收入</w:t>
      </w:r>
    </w:p>
    <w:tbl>
      <w:tblPr>
        <w:tblStyle w:val="8"/>
        <w:tblW w:w="8828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8"/>
        <w:gridCol w:w="885"/>
        <w:gridCol w:w="1365"/>
        <w:gridCol w:w="990"/>
        <w:gridCol w:w="1425"/>
        <w:gridCol w:w="930"/>
        <w:gridCol w:w="136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868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宋体" w:eastAsia="宋体" w:cs="Times New Roman"/>
                <w:b/>
                <w:bCs/>
                <w:color w:val="000000"/>
                <w:kern w:val="0"/>
                <w:sz w:val="22"/>
              </w:rPr>
              <w:t>指标</w:t>
            </w:r>
          </w:p>
        </w:tc>
        <w:tc>
          <w:tcPr>
            <w:tcW w:w="22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宋体" w:eastAsia="宋体" w:cs="Times New Roman"/>
                <w:b/>
                <w:bCs/>
                <w:color w:val="000000"/>
                <w:kern w:val="0"/>
                <w:sz w:val="22"/>
              </w:rPr>
              <w:t>全体</w:t>
            </w:r>
          </w:p>
        </w:tc>
        <w:tc>
          <w:tcPr>
            <w:tcW w:w="24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宋体" w:eastAsia="宋体" w:cs="Times New Roman"/>
                <w:b/>
                <w:bCs/>
                <w:color w:val="000000"/>
                <w:kern w:val="0"/>
                <w:sz w:val="22"/>
              </w:rPr>
              <w:t>城镇</w:t>
            </w:r>
          </w:p>
        </w:tc>
        <w:tc>
          <w:tcPr>
            <w:tcW w:w="22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宋体" w:eastAsia="宋体" w:cs="Times New Roman"/>
                <w:b/>
                <w:bCs/>
                <w:color w:val="000000"/>
                <w:kern w:val="0"/>
                <w:sz w:val="22"/>
              </w:rPr>
              <w:t>农村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868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宋体" w:eastAsia="宋体" w:cs="Times New Roman"/>
                <w:b/>
                <w:bCs/>
                <w:color w:val="000000"/>
                <w:kern w:val="0"/>
                <w:sz w:val="22"/>
              </w:rPr>
              <w:t>绝对量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  <w:t xml:space="preserve">                                                                                                                                         </w:t>
            </w:r>
            <w:r>
              <w:rPr>
                <w:rFonts w:ascii="Times New Roman" w:hAnsi="宋体" w:eastAsia="宋体" w:cs="Times New Roman"/>
                <w:b/>
                <w:bCs/>
                <w:color w:val="000000"/>
                <w:kern w:val="0"/>
                <w:sz w:val="22"/>
              </w:rPr>
              <w:t>（元）</w:t>
            </w:r>
          </w:p>
        </w:tc>
        <w:tc>
          <w:tcPr>
            <w:tcW w:w="136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宋体" w:eastAsia="宋体" w:cs="Times New Roman"/>
                <w:b/>
                <w:bCs/>
                <w:color w:val="000000"/>
                <w:kern w:val="0"/>
                <w:sz w:val="22"/>
              </w:rPr>
              <w:t>比上年增长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  <w:t xml:space="preserve">                                                                                                                                   </w:t>
            </w:r>
            <w:r>
              <w:rPr>
                <w:rFonts w:ascii="Times New Roman" w:hAnsi="宋体" w:eastAsia="宋体" w:cs="Times New Roman"/>
                <w:b/>
                <w:bCs/>
                <w:color w:val="000000"/>
                <w:kern w:val="0"/>
                <w:sz w:val="22"/>
              </w:rPr>
              <w:t>（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  <w:t xml:space="preserve"> %</w:t>
            </w:r>
            <w:r>
              <w:rPr>
                <w:rFonts w:ascii="Times New Roman" w:hAnsi="宋体" w:eastAsia="宋体" w:cs="Times New Roman"/>
                <w:b/>
                <w:bCs/>
                <w:color w:val="000000"/>
                <w:kern w:val="0"/>
                <w:sz w:val="22"/>
              </w:rPr>
              <w:t>）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宋体" w:eastAsia="宋体" w:cs="Times New Roman"/>
                <w:b/>
                <w:bCs/>
                <w:color w:val="000000"/>
                <w:kern w:val="0"/>
                <w:sz w:val="22"/>
              </w:rPr>
              <w:t>绝对量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  <w:t xml:space="preserve">                                                                                                                                         </w:t>
            </w:r>
            <w:r>
              <w:rPr>
                <w:rFonts w:ascii="Times New Roman" w:hAnsi="宋体" w:eastAsia="宋体" w:cs="Times New Roman"/>
                <w:b/>
                <w:bCs/>
                <w:color w:val="000000"/>
                <w:kern w:val="0"/>
                <w:sz w:val="22"/>
              </w:rPr>
              <w:t>（元）</w:t>
            </w:r>
          </w:p>
        </w:tc>
        <w:tc>
          <w:tcPr>
            <w:tcW w:w="142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宋体" w:eastAsia="宋体" w:cs="Times New Roman"/>
                <w:b/>
                <w:bCs/>
                <w:color w:val="000000"/>
                <w:kern w:val="0"/>
                <w:sz w:val="22"/>
              </w:rPr>
              <w:t>比上年增长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  <w:t xml:space="preserve">                                                                                                                                   </w:t>
            </w:r>
            <w:r>
              <w:rPr>
                <w:rFonts w:ascii="Times New Roman" w:hAnsi="宋体" w:eastAsia="宋体" w:cs="Times New Roman"/>
                <w:b/>
                <w:bCs/>
                <w:color w:val="000000"/>
                <w:kern w:val="0"/>
                <w:sz w:val="22"/>
              </w:rPr>
              <w:t>（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  <w:t xml:space="preserve"> %</w:t>
            </w:r>
            <w:r>
              <w:rPr>
                <w:rFonts w:ascii="Times New Roman" w:hAnsi="宋体" w:eastAsia="宋体" w:cs="Times New Roman"/>
                <w:b/>
                <w:bCs/>
                <w:color w:val="000000"/>
                <w:kern w:val="0"/>
                <w:sz w:val="22"/>
              </w:rPr>
              <w:t>）</w:t>
            </w:r>
          </w:p>
        </w:tc>
        <w:tc>
          <w:tcPr>
            <w:tcW w:w="93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宋体" w:eastAsia="宋体" w:cs="Times New Roman"/>
                <w:b/>
                <w:bCs/>
                <w:color w:val="000000"/>
                <w:kern w:val="0"/>
                <w:sz w:val="22"/>
              </w:rPr>
              <w:t>绝对量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  <w:t xml:space="preserve">                                                                                                                                         </w:t>
            </w:r>
            <w:r>
              <w:rPr>
                <w:rFonts w:ascii="Times New Roman" w:hAnsi="宋体" w:eastAsia="宋体" w:cs="Times New Roman"/>
                <w:b/>
                <w:bCs/>
                <w:color w:val="000000"/>
                <w:kern w:val="0"/>
                <w:sz w:val="22"/>
              </w:rPr>
              <w:t>（元）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宋体" w:eastAsia="宋体" w:cs="Times New Roman"/>
                <w:b/>
                <w:bCs/>
                <w:color w:val="000000"/>
                <w:kern w:val="0"/>
                <w:sz w:val="22"/>
              </w:rPr>
              <w:t>比上年增长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  <w:t xml:space="preserve">                                                                                                                                   </w:t>
            </w:r>
            <w:r>
              <w:rPr>
                <w:rFonts w:ascii="Times New Roman" w:hAnsi="宋体" w:eastAsia="宋体" w:cs="Times New Roman"/>
                <w:b/>
                <w:bCs/>
                <w:color w:val="000000"/>
                <w:kern w:val="0"/>
                <w:sz w:val="22"/>
              </w:rPr>
              <w:t>（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  <w:t xml:space="preserve"> %</w:t>
            </w:r>
            <w:r>
              <w:rPr>
                <w:rFonts w:ascii="Times New Roman" w:hAnsi="宋体" w:eastAsia="宋体" w:cs="Times New Roman"/>
                <w:b/>
                <w:bCs/>
                <w:color w:val="000000"/>
                <w:kern w:val="0"/>
                <w:sz w:val="22"/>
              </w:rPr>
              <w:t>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宋体" w:eastAsia="宋体" w:cs="Times New Roman"/>
                <w:color w:val="000000"/>
                <w:kern w:val="0"/>
                <w:sz w:val="22"/>
              </w:rPr>
              <w:t>人均可支配收入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21935</w:t>
            </w:r>
          </w:p>
        </w:tc>
        <w:tc>
          <w:tcPr>
            <w:tcW w:w="13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10.6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32435</w:t>
            </w:r>
          </w:p>
        </w:tc>
        <w:tc>
          <w:tcPr>
            <w:tcW w:w="1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8.8</w:t>
            </w:r>
          </w:p>
        </w:tc>
        <w:tc>
          <w:tcPr>
            <w:tcW w:w="9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11806</w:t>
            </w:r>
          </w:p>
        </w:tc>
        <w:tc>
          <w:tcPr>
            <w:tcW w:w="136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9.4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    </w:t>
            </w:r>
            <w:r>
              <w:rPr>
                <w:rFonts w:ascii="Times New Roman" w:hAnsi="宋体" w:eastAsia="宋体" w:cs="Times New Roman"/>
                <w:color w:val="000000"/>
                <w:kern w:val="0"/>
                <w:sz w:val="22"/>
              </w:rPr>
              <w:t>工资性收入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9411</w:t>
            </w: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11.0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15706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8.3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3339</w:t>
            </w: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10.2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    </w:t>
            </w:r>
            <w:r>
              <w:rPr>
                <w:rFonts w:ascii="Times New Roman" w:hAnsi="宋体" w:eastAsia="宋体" w:cs="Times New Roman"/>
                <w:color w:val="000000"/>
                <w:kern w:val="0"/>
                <w:sz w:val="22"/>
              </w:rPr>
              <w:t>经营净收入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6984</w:t>
            </w: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7.2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10305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4.4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3780</w:t>
            </w: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8.7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    </w:t>
            </w:r>
            <w:r>
              <w:rPr>
                <w:rFonts w:ascii="Times New Roman" w:hAnsi="宋体" w:eastAsia="宋体" w:cs="Times New Roman"/>
                <w:color w:val="000000"/>
                <w:kern w:val="0"/>
                <w:sz w:val="22"/>
              </w:rPr>
              <w:t>财产净收入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1495</w:t>
            </w: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12.1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2771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9.1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264</w:t>
            </w: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9.1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    </w:t>
            </w:r>
            <w:r>
              <w:rPr>
                <w:rFonts w:ascii="Times New Roman" w:hAnsi="宋体" w:eastAsia="宋体" w:cs="Times New Roman"/>
                <w:color w:val="000000"/>
                <w:kern w:val="0"/>
                <w:sz w:val="22"/>
              </w:rPr>
              <w:t>转移净收入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4045</w:t>
            </w: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15.6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365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26.0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4423</w:t>
            </w: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9.4</w:t>
            </w:r>
          </w:p>
        </w:tc>
      </w:tr>
    </w:tbl>
    <w:p>
      <w:pPr>
        <w:spacing w:line="580" w:lineRule="exact"/>
        <w:jc w:val="center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>
      <w:pPr>
        <w:spacing w:line="580" w:lineRule="exact"/>
        <w:jc w:val="center"/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图 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 xml:space="preserve">  全区居民人均消费支出结构</w:t>
      </w:r>
    </w:p>
    <w:p>
      <w:pPr>
        <w:jc w:val="center"/>
        <w:rPr>
          <w:rFonts w:hint="eastAsia" w:eastAsiaTheme="minorEastAsia"/>
          <w:sz w:val="28"/>
          <w:szCs w:val="28"/>
          <w:lang w:eastAsia="zh-CN"/>
        </w:rPr>
      </w:pPr>
      <w:r>
        <w:drawing>
          <wp:inline distT="0" distB="0" distL="114300" distR="114300">
            <wp:extent cx="5047615" cy="2314575"/>
            <wp:effectExtent l="5080" t="4445" r="14605" b="5080"/>
            <wp:docPr id="3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全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区</w:t>
      </w:r>
      <w:r>
        <w:rPr>
          <w:rFonts w:ascii="Times New Roman" w:hAnsi="Times New Roman" w:eastAsia="方正仿宋_GBK" w:cs="Times New Roman"/>
          <w:sz w:val="32"/>
          <w:szCs w:val="32"/>
        </w:rPr>
        <w:t>城镇企业职工基本养老保险参保人数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6.77</w:t>
      </w:r>
      <w:r>
        <w:rPr>
          <w:rFonts w:ascii="Times New Roman" w:hAnsi="Times New Roman" w:eastAsia="方正仿宋_GBK" w:cs="Times New Roman"/>
          <w:sz w:val="32"/>
          <w:szCs w:val="32"/>
        </w:rPr>
        <w:t>万人，比上年增长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15.9</w:t>
      </w:r>
      <w:r>
        <w:rPr>
          <w:rFonts w:ascii="Times New Roman" w:hAnsi="Times New Roman" w:eastAsia="方正仿宋_GBK" w:cs="Times New Roman"/>
          <w:sz w:val="32"/>
          <w:szCs w:val="32"/>
        </w:rPr>
        <w:t>%。城乡居民社会养老保险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参保</w:t>
      </w:r>
      <w:r>
        <w:rPr>
          <w:rFonts w:ascii="Times New Roman" w:hAnsi="Times New Roman" w:eastAsia="方正仿宋_GBK" w:cs="Times New Roman"/>
          <w:sz w:val="32"/>
          <w:szCs w:val="32"/>
        </w:rPr>
        <w:t>人数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20.32</w:t>
      </w:r>
      <w:r>
        <w:rPr>
          <w:rFonts w:ascii="Times New Roman" w:hAnsi="Times New Roman" w:eastAsia="方正仿宋_GBK" w:cs="Times New Roman"/>
          <w:sz w:val="32"/>
          <w:szCs w:val="32"/>
        </w:rPr>
        <w:t>万人，增长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2.3</w:t>
      </w:r>
      <w:r>
        <w:rPr>
          <w:rFonts w:ascii="Times New Roman" w:hAnsi="Times New Roman" w:eastAsia="方正仿宋_GBK" w:cs="Times New Roman"/>
          <w:sz w:val="32"/>
          <w:szCs w:val="32"/>
        </w:rPr>
        <w:t>%。城镇职工基本医疗保险参保人数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5.86</w:t>
      </w:r>
      <w:r>
        <w:rPr>
          <w:rFonts w:ascii="Times New Roman" w:hAnsi="Times New Roman" w:eastAsia="方正仿宋_GBK" w:cs="Times New Roman"/>
          <w:sz w:val="32"/>
          <w:szCs w:val="32"/>
        </w:rPr>
        <w:t>万人，增长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10.1</w:t>
      </w:r>
      <w:r>
        <w:rPr>
          <w:rFonts w:ascii="Times New Roman" w:hAnsi="Times New Roman" w:eastAsia="方正仿宋_GBK" w:cs="Times New Roman"/>
          <w:sz w:val="32"/>
          <w:szCs w:val="32"/>
        </w:rPr>
        <w:t>%。城乡居民基本医疗保险参保人数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46.01</w:t>
      </w:r>
      <w:r>
        <w:rPr>
          <w:rFonts w:ascii="Times New Roman" w:hAnsi="Times New Roman" w:eastAsia="方正仿宋_GBK" w:cs="Times New Roman"/>
          <w:sz w:val="32"/>
          <w:szCs w:val="32"/>
        </w:rPr>
        <w:t>万人，增长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0.9</w:t>
      </w:r>
      <w:r>
        <w:rPr>
          <w:rFonts w:ascii="Times New Roman" w:hAnsi="Times New Roman" w:eastAsia="方正仿宋_GBK" w:cs="Times New Roman"/>
          <w:sz w:val="32"/>
          <w:szCs w:val="32"/>
        </w:rPr>
        <w:t>%。工伤保险参保人数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5.42</w:t>
      </w:r>
      <w:r>
        <w:rPr>
          <w:rFonts w:ascii="Times New Roman" w:hAnsi="Times New Roman" w:eastAsia="方正仿宋_GBK" w:cs="Times New Roman"/>
          <w:sz w:val="32"/>
          <w:szCs w:val="32"/>
        </w:rPr>
        <w:t>万人，增长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7.8</w:t>
      </w:r>
      <w:r>
        <w:rPr>
          <w:rFonts w:ascii="Times New Roman" w:hAnsi="Times New Roman" w:eastAsia="方正仿宋_GBK" w:cs="Times New Roman"/>
          <w:sz w:val="32"/>
          <w:szCs w:val="32"/>
        </w:rPr>
        <w:t>%。生育保险参保人数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4.75</w:t>
      </w:r>
      <w:r>
        <w:rPr>
          <w:rFonts w:ascii="Times New Roman" w:hAnsi="Times New Roman" w:eastAsia="方正仿宋_GBK" w:cs="Times New Roman"/>
          <w:sz w:val="32"/>
          <w:szCs w:val="32"/>
        </w:rPr>
        <w:t>万人，增长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12.2</w:t>
      </w:r>
      <w:r>
        <w:rPr>
          <w:rFonts w:ascii="Times New Roman" w:hAnsi="Times New Roman" w:eastAsia="方正仿宋_GBK" w:cs="Times New Roman"/>
          <w:sz w:val="32"/>
          <w:szCs w:val="32"/>
        </w:rPr>
        <w:t>%。失业保险参保人数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3.9</w:t>
      </w:r>
      <w:r>
        <w:rPr>
          <w:rFonts w:ascii="Times New Roman" w:hAnsi="Times New Roman" w:eastAsia="方正仿宋_GBK" w:cs="Times New Roman"/>
          <w:sz w:val="32"/>
          <w:szCs w:val="32"/>
        </w:rPr>
        <w:t>万人，增长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10.5</w:t>
      </w:r>
      <w:r>
        <w:rPr>
          <w:rFonts w:ascii="Times New Roman" w:hAnsi="Times New Roman" w:eastAsia="方正仿宋_GBK" w:cs="Times New Roman"/>
          <w:sz w:val="32"/>
          <w:szCs w:val="32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全区年末共有城乡低保对象10233户20803人。其中，城市低保3672户6765人；农村低保6561户14038人。全年累计发放城乡低保金10039.8万元。其中，城市低保3801.6万元；农村低保6506.2万元。城市低保月人均补差463元，农村低保月人均补差382元。全区特困人员2369人，共发放供养金2005.3万元、发放照料护理补贴99.12万元。经济困难的高龄失能老年人614人，累计发放养老服务补贴144.4万元。孤儿53人，累计发放基本生活费81.6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方正黑体_GBK" w:cs="Times New Roman"/>
          <w:sz w:val="32"/>
          <w:szCs w:val="32"/>
        </w:rPr>
      </w:pPr>
      <w:r>
        <w:rPr>
          <w:rFonts w:ascii="Times New Roman" w:hAnsi="Times New Roman" w:eastAsia="方正黑体_GBK" w:cs="Times New Roman"/>
          <w:sz w:val="32"/>
          <w:szCs w:val="32"/>
        </w:rPr>
        <w:t>九、教育、科学技术和文化体育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全区共有各级各类学校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247</w:t>
      </w:r>
      <w:r>
        <w:rPr>
          <w:rFonts w:ascii="Times New Roman" w:hAnsi="Times New Roman" w:eastAsia="方正仿宋_GBK" w:cs="Times New Roman"/>
          <w:sz w:val="32"/>
          <w:szCs w:val="32"/>
        </w:rPr>
        <w:t>所。其中，高等教育学校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2</w:t>
      </w:r>
      <w:r>
        <w:rPr>
          <w:rFonts w:ascii="Times New Roman" w:hAnsi="Times New Roman" w:eastAsia="方正仿宋_GBK" w:cs="Times New Roman"/>
          <w:sz w:val="32"/>
          <w:szCs w:val="32"/>
        </w:rPr>
        <w:t>所，中等职业学校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2</w:t>
      </w:r>
      <w:r>
        <w:rPr>
          <w:rFonts w:ascii="Times New Roman" w:hAnsi="Times New Roman" w:eastAsia="方正仿宋_GBK" w:cs="Times New Roman"/>
          <w:sz w:val="32"/>
          <w:szCs w:val="32"/>
        </w:rPr>
        <w:t>所，普通中学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27</w:t>
      </w:r>
      <w:r>
        <w:rPr>
          <w:rFonts w:ascii="Times New Roman" w:hAnsi="Times New Roman" w:eastAsia="方正仿宋_GBK" w:cs="Times New Roman"/>
          <w:sz w:val="32"/>
          <w:szCs w:val="32"/>
        </w:rPr>
        <w:t>所，小学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71</w:t>
      </w:r>
      <w:r>
        <w:rPr>
          <w:rFonts w:ascii="Times New Roman" w:hAnsi="Times New Roman" w:eastAsia="方正仿宋_GBK" w:cs="Times New Roman"/>
          <w:sz w:val="32"/>
          <w:szCs w:val="32"/>
        </w:rPr>
        <w:t>所，幼儿园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146</w:t>
      </w:r>
      <w:r>
        <w:rPr>
          <w:rFonts w:ascii="Times New Roman" w:hAnsi="Times New Roman" w:eastAsia="方正仿宋_GBK" w:cs="Times New Roman"/>
          <w:sz w:val="32"/>
          <w:szCs w:val="32"/>
        </w:rPr>
        <w:t>所，特殊教育学校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1</w:t>
      </w:r>
      <w:r>
        <w:rPr>
          <w:rFonts w:ascii="Times New Roman" w:hAnsi="Times New Roman" w:eastAsia="方正仿宋_GBK" w:cs="Times New Roman"/>
          <w:sz w:val="32"/>
          <w:szCs w:val="32"/>
        </w:rPr>
        <w:t>所。普通本专科招生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0.19</w:t>
      </w:r>
      <w:r>
        <w:rPr>
          <w:rFonts w:ascii="Times New Roman" w:hAnsi="Times New Roman" w:eastAsia="方正仿宋_GBK" w:cs="Times New Roman"/>
          <w:sz w:val="32"/>
          <w:szCs w:val="32"/>
        </w:rPr>
        <w:t>万人，在校生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0.81</w:t>
      </w:r>
      <w:r>
        <w:rPr>
          <w:rFonts w:ascii="Times New Roman" w:hAnsi="Times New Roman" w:eastAsia="方正仿宋_GBK" w:cs="Times New Roman"/>
          <w:sz w:val="32"/>
          <w:szCs w:val="32"/>
        </w:rPr>
        <w:t>万人，毕业生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0.17</w:t>
      </w:r>
      <w:r>
        <w:rPr>
          <w:rFonts w:ascii="Times New Roman" w:hAnsi="Times New Roman" w:eastAsia="方正仿宋_GBK" w:cs="Times New Roman"/>
          <w:sz w:val="32"/>
          <w:szCs w:val="32"/>
        </w:rPr>
        <w:t>万人。中等职业教育招生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0.37</w:t>
      </w:r>
      <w:r>
        <w:rPr>
          <w:rFonts w:ascii="Times New Roman" w:hAnsi="Times New Roman" w:eastAsia="方正仿宋_GBK" w:cs="Times New Roman"/>
          <w:sz w:val="32"/>
          <w:szCs w:val="32"/>
        </w:rPr>
        <w:t>万人，在校生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0.98</w:t>
      </w:r>
      <w:r>
        <w:rPr>
          <w:rFonts w:ascii="Times New Roman" w:hAnsi="Times New Roman" w:eastAsia="方正仿宋_GBK" w:cs="Times New Roman"/>
          <w:sz w:val="32"/>
          <w:szCs w:val="32"/>
        </w:rPr>
        <w:t>万人，毕业生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0.23</w:t>
      </w:r>
      <w:r>
        <w:rPr>
          <w:rFonts w:ascii="Times New Roman" w:hAnsi="Times New Roman" w:eastAsia="方正仿宋_GBK" w:cs="Times New Roman"/>
          <w:sz w:val="32"/>
          <w:szCs w:val="32"/>
        </w:rPr>
        <w:t>万人。普通高中学招生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0.41</w:t>
      </w:r>
      <w:r>
        <w:rPr>
          <w:rFonts w:ascii="Times New Roman" w:hAnsi="Times New Roman" w:eastAsia="方正仿宋_GBK" w:cs="Times New Roman"/>
          <w:sz w:val="32"/>
          <w:szCs w:val="32"/>
        </w:rPr>
        <w:t>万人，在校生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1.33</w:t>
      </w:r>
      <w:r>
        <w:rPr>
          <w:rFonts w:ascii="Times New Roman" w:hAnsi="Times New Roman" w:eastAsia="方正仿宋_GBK" w:cs="Times New Roman"/>
          <w:sz w:val="32"/>
          <w:szCs w:val="32"/>
        </w:rPr>
        <w:t>万人，毕业生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0.51</w:t>
      </w:r>
      <w:r>
        <w:rPr>
          <w:rFonts w:ascii="Times New Roman" w:hAnsi="Times New Roman" w:eastAsia="方正仿宋_GBK" w:cs="Times New Roman"/>
          <w:sz w:val="32"/>
          <w:szCs w:val="32"/>
        </w:rPr>
        <w:t>万人。普通初中学招生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0.77</w:t>
      </w:r>
      <w:r>
        <w:rPr>
          <w:rFonts w:ascii="Times New Roman" w:hAnsi="Times New Roman" w:eastAsia="方正仿宋_GBK" w:cs="Times New Roman"/>
          <w:sz w:val="32"/>
          <w:szCs w:val="32"/>
        </w:rPr>
        <w:t>万人，在校生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2.36</w:t>
      </w:r>
      <w:r>
        <w:rPr>
          <w:rFonts w:ascii="Times New Roman" w:hAnsi="Times New Roman" w:eastAsia="方正仿宋_GBK" w:cs="Times New Roman"/>
          <w:sz w:val="32"/>
          <w:szCs w:val="32"/>
        </w:rPr>
        <w:t>万人，毕业生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0.82</w:t>
      </w:r>
      <w:r>
        <w:rPr>
          <w:rFonts w:ascii="Times New Roman" w:hAnsi="Times New Roman" w:eastAsia="方正仿宋_GBK" w:cs="Times New Roman"/>
          <w:sz w:val="32"/>
          <w:szCs w:val="32"/>
        </w:rPr>
        <w:t>万人。普通小学招生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0.69</w:t>
      </w:r>
      <w:r>
        <w:rPr>
          <w:rFonts w:ascii="Times New Roman" w:hAnsi="Times New Roman" w:eastAsia="方正仿宋_GBK" w:cs="Times New Roman"/>
          <w:sz w:val="32"/>
          <w:szCs w:val="32"/>
        </w:rPr>
        <w:t>万人，在校生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4.25</w:t>
      </w:r>
      <w:r>
        <w:rPr>
          <w:rFonts w:ascii="Times New Roman" w:hAnsi="Times New Roman" w:eastAsia="方正仿宋_GBK" w:cs="Times New Roman"/>
          <w:sz w:val="32"/>
          <w:szCs w:val="32"/>
        </w:rPr>
        <w:t>万人，毕业生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0.74</w:t>
      </w:r>
      <w:r>
        <w:rPr>
          <w:rFonts w:ascii="Times New Roman" w:hAnsi="Times New Roman" w:eastAsia="方正仿宋_GBK" w:cs="Times New Roman"/>
          <w:sz w:val="32"/>
          <w:szCs w:val="32"/>
        </w:rPr>
        <w:t>万人。学前教育招生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1.59</w:t>
      </w:r>
      <w:r>
        <w:rPr>
          <w:rFonts w:ascii="Times New Roman" w:hAnsi="Times New Roman" w:eastAsia="方正仿宋_GBK" w:cs="Times New Roman"/>
          <w:sz w:val="32"/>
          <w:szCs w:val="32"/>
        </w:rPr>
        <w:t>万人，在校生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1.78</w:t>
      </w:r>
      <w:r>
        <w:rPr>
          <w:rFonts w:ascii="Times New Roman" w:hAnsi="Times New Roman" w:eastAsia="方正仿宋_GBK" w:cs="Times New Roman"/>
          <w:sz w:val="32"/>
          <w:szCs w:val="32"/>
        </w:rPr>
        <w:t>万人，毕业生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0.69</w:t>
      </w:r>
      <w:r>
        <w:rPr>
          <w:rFonts w:ascii="Times New Roman" w:hAnsi="Times New Roman" w:eastAsia="方正仿宋_GBK" w:cs="Times New Roman"/>
          <w:sz w:val="32"/>
          <w:szCs w:val="32"/>
        </w:rPr>
        <w:t>万人。特殊教育招生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36</w:t>
      </w:r>
      <w:r>
        <w:rPr>
          <w:rFonts w:ascii="Times New Roman" w:hAnsi="Times New Roman" w:eastAsia="方正仿宋_GBK" w:cs="Times New Roman"/>
          <w:sz w:val="32"/>
          <w:szCs w:val="32"/>
        </w:rPr>
        <w:t>人，在校生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135</w:t>
      </w:r>
      <w:r>
        <w:rPr>
          <w:rFonts w:ascii="Times New Roman" w:hAnsi="Times New Roman" w:eastAsia="方正仿宋_GBK" w:cs="Times New Roman"/>
          <w:sz w:val="32"/>
          <w:szCs w:val="32"/>
        </w:rPr>
        <w:t>人，毕业生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16</w:t>
      </w:r>
      <w:r>
        <w:rPr>
          <w:rFonts w:ascii="Times New Roman" w:hAnsi="Times New Roman" w:eastAsia="方正仿宋_GBK" w:cs="Times New Roman"/>
          <w:sz w:val="32"/>
          <w:szCs w:val="32"/>
        </w:rPr>
        <w:t>人。中考上全市联招线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2556</w:t>
      </w:r>
      <w:r>
        <w:rPr>
          <w:rFonts w:ascii="Times New Roman" w:hAnsi="Times New Roman" w:eastAsia="方正仿宋_GBK" w:cs="Times New Roman"/>
          <w:sz w:val="32"/>
          <w:szCs w:val="32"/>
        </w:rPr>
        <w:t>人，比上年增加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571</w:t>
      </w:r>
      <w:r>
        <w:rPr>
          <w:rFonts w:ascii="Times New Roman" w:hAnsi="Times New Roman" w:eastAsia="方正仿宋_GBK" w:cs="Times New Roman"/>
          <w:sz w:val="32"/>
          <w:szCs w:val="32"/>
        </w:rPr>
        <w:t>人。普通高考一本硬上线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1063</w:t>
      </w:r>
      <w:r>
        <w:rPr>
          <w:rFonts w:ascii="Times New Roman" w:hAnsi="Times New Roman" w:eastAsia="方正仿宋_GBK" w:cs="Times New Roman"/>
          <w:sz w:val="32"/>
          <w:szCs w:val="32"/>
        </w:rPr>
        <w:t>人，职教中心对口高考本科上线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301</w:t>
      </w:r>
      <w:r>
        <w:rPr>
          <w:rFonts w:ascii="Times New Roman" w:hAnsi="Times New Roman" w:eastAsia="方正仿宋_GBK" w:cs="Times New Roman"/>
          <w:sz w:val="32"/>
          <w:szCs w:val="32"/>
        </w:rPr>
        <w:t>人。学前教育三年毛入园率为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90.1</w:t>
      </w:r>
      <w:r>
        <w:rPr>
          <w:rFonts w:ascii="Times New Roman" w:hAnsi="Times New Roman" w:eastAsia="方正仿宋_GBK" w:cs="Times New Roman"/>
          <w:sz w:val="32"/>
          <w:szCs w:val="32"/>
        </w:rPr>
        <w:t>%，九年义务教育巩固率为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99.7</w:t>
      </w:r>
      <w:r>
        <w:rPr>
          <w:rFonts w:ascii="Times New Roman" w:hAnsi="Times New Roman" w:eastAsia="方正仿宋_GBK" w:cs="Times New Roman"/>
          <w:sz w:val="32"/>
          <w:szCs w:val="32"/>
        </w:rPr>
        <w:t>%，高中阶段毛入学率为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97.5</w:t>
      </w:r>
      <w:r>
        <w:rPr>
          <w:rFonts w:ascii="Times New Roman" w:hAnsi="Times New Roman" w:eastAsia="方正仿宋_GBK" w:cs="Times New Roman"/>
          <w:sz w:val="32"/>
          <w:szCs w:val="32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新增国家级星创天地1家，新增国家级众创空间1家，全区市级双创平台达6家，国家级达4家。全年实施区级科技计划项目94项，下达项目资金50万元。全年全区专利申请213件，比上年增长8.1%，获得专利授权152件，增长8.6%，万人发明专利拥有量2.43件/万人，增长14.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9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全区共有文艺表演团体13个，民族文化艺术馆1个，公共图书馆1个。有线数字电视实际用户2.7万户。广播人口覆盖率达96.9%、电视人口覆盖率97.7%。图书馆馆藏图书23.2万册。全区有覆盖城区、重点旅游乡镇广场的免费WiFi热点104个。全年开展各种群众文体活动2000余场次。全年完成农村惠民电影放映2035场，送演出进基层274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全年在市级及以上体育赛事中获得金牌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43</w:t>
      </w:r>
      <w:r>
        <w:rPr>
          <w:rFonts w:ascii="Times New Roman" w:hAnsi="Times New Roman" w:eastAsia="方正仿宋_GBK" w:cs="Times New Roman"/>
          <w:sz w:val="32"/>
          <w:szCs w:val="32"/>
        </w:rPr>
        <w:t>枚，银牌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49</w:t>
      </w:r>
      <w:r>
        <w:rPr>
          <w:rFonts w:ascii="Times New Roman" w:hAnsi="Times New Roman" w:eastAsia="方正仿宋_GBK" w:cs="Times New Roman"/>
          <w:sz w:val="32"/>
          <w:szCs w:val="32"/>
        </w:rPr>
        <w:t>枚，铜牌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60</w:t>
      </w:r>
      <w:r>
        <w:rPr>
          <w:rFonts w:ascii="Times New Roman" w:hAnsi="Times New Roman" w:eastAsia="方正仿宋_GBK" w:cs="Times New Roman"/>
          <w:sz w:val="32"/>
          <w:szCs w:val="32"/>
        </w:rPr>
        <w:t>枚。全区共有体育场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9</w:t>
      </w:r>
      <w:r>
        <w:rPr>
          <w:rFonts w:ascii="Times New Roman" w:hAnsi="Times New Roman" w:eastAsia="方正仿宋_GBK" w:cs="Times New Roman"/>
          <w:sz w:val="32"/>
          <w:szCs w:val="32"/>
        </w:rPr>
        <w:t>个，体育馆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3</w:t>
      </w:r>
      <w:r>
        <w:rPr>
          <w:rFonts w:ascii="Times New Roman" w:hAnsi="Times New Roman" w:eastAsia="方正仿宋_GBK" w:cs="Times New Roman"/>
          <w:sz w:val="32"/>
          <w:szCs w:val="32"/>
        </w:rPr>
        <w:t>个、游泳池（馆）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13</w:t>
      </w:r>
      <w:r>
        <w:rPr>
          <w:rFonts w:ascii="Times New Roman" w:hAnsi="Times New Roman" w:eastAsia="方正仿宋_GBK" w:cs="Times New Roman"/>
          <w:sz w:val="32"/>
          <w:szCs w:val="32"/>
        </w:rPr>
        <w:t>个。201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8</w:t>
      </w:r>
      <w:r>
        <w:rPr>
          <w:rFonts w:ascii="Times New Roman" w:hAnsi="Times New Roman" w:eastAsia="方正仿宋_GBK" w:cs="Times New Roman"/>
          <w:sz w:val="32"/>
          <w:szCs w:val="32"/>
        </w:rPr>
        <w:t>年国民体质监测抽样合格率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92.7</w:t>
      </w:r>
      <w:r>
        <w:rPr>
          <w:rFonts w:ascii="Times New Roman" w:hAnsi="Times New Roman" w:eastAsia="方正仿宋_GBK" w:cs="Times New Roman"/>
          <w:sz w:val="32"/>
          <w:szCs w:val="32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黑体_GBK" w:cs="Times New Roman"/>
          <w:sz w:val="32"/>
          <w:szCs w:val="32"/>
          <w:lang w:eastAsia="zh-CN"/>
        </w:rPr>
      </w:pPr>
      <w:r>
        <w:rPr>
          <w:rFonts w:ascii="Times New Roman" w:hAnsi="Times New Roman" w:eastAsia="方正黑体_GBK" w:cs="Times New Roman"/>
          <w:sz w:val="32"/>
          <w:szCs w:val="32"/>
        </w:rPr>
        <w:t>十、卫生和</w:t>
      </w:r>
      <w:r>
        <w:rPr>
          <w:rFonts w:hint="eastAsia" w:ascii="Times New Roman" w:hAnsi="Times New Roman" w:eastAsia="方正黑体_GBK" w:cs="Times New Roman"/>
          <w:sz w:val="32"/>
          <w:szCs w:val="32"/>
          <w:lang w:eastAsia="zh-CN"/>
        </w:rPr>
        <w:t>扶贫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全区年末共有各级各类医疗卫生机构295个（含村卫生室）。其中，医院12个；妇幼保健院1个；疾病预防控制中心1个；乡镇卫生院24个；社区卫生服务中心6个。共有卫生机构床位数4032张。其中，医院床位3064张；社区卫生服务中心275张，乡镇卫生院床位547张。共有医疗卫生机构卫生技术人员3700人，其中执业医师和执业助理医师1048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累计整合财政涉农扶贫资金13.49亿元，争取到各类对口帮扶资金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0.61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截止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2018年底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，全区建档立卡贫困户11758户、45398人。已脱贫10982户、42645人(其中新脱贫734户、2696人)，贫困人口减少至776户、2753人（包括返贫15户、51人），贫困发生率降至0.88%。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方正黑体_GBK" w:cs="Times New Roman"/>
          <w:sz w:val="32"/>
          <w:szCs w:val="32"/>
        </w:rPr>
      </w:pPr>
      <w:r>
        <w:rPr>
          <w:rFonts w:ascii="Times New Roman" w:hAnsi="Times New Roman" w:eastAsia="方正黑体_GBK" w:cs="Times New Roman"/>
          <w:sz w:val="32"/>
          <w:szCs w:val="32"/>
        </w:rPr>
        <w:t>十</w:t>
      </w:r>
      <w:r>
        <w:rPr>
          <w:rFonts w:hint="eastAsia" w:ascii="Times New Roman" w:hAnsi="Times New Roman" w:eastAsia="方正黑体_GBK" w:cs="Times New Roman"/>
          <w:sz w:val="32"/>
          <w:szCs w:val="32"/>
          <w:lang w:eastAsia="zh-CN"/>
        </w:rPr>
        <w:t>一</w:t>
      </w:r>
      <w:r>
        <w:rPr>
          <w:rFonts w:ascii="Times New Roman" w:hAnsi="Times New Roman" w:eastAsia="方正黑体_GBK" w:cs="Times New Roman"/>
          <w:sz w:val="32"/>
          <w:szCs w:val="32"/>
        </w:rPr>
        <w:t>、环境保护和生态建设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全年水资源总量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21.46</w:t>
      </w:r>
      <w:r>
        <w:rPr>
          <w:rFonts w:ascii="Times New Roman" w:hAnsi="Times New Roman" w:eastAsia="方正仿宋_GBK" w:cs="Times New Roman"/>
          <w:sz w:val="32"/>
          <w:szCs w:val="32"/>
        </w:rPr>
        <w:t>亿立方米。年降水量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1341.4</w:t>
      </w:r>
      <w:r>
        <w:rPr>
          <w:rFonts w:ascii="Times New Roman" w:hAnsi="Times New Roman" w:eastAsia="方正仿宋_GBK" w:cs="Times New Roman"/>
          <w:sz w:val="32"/>
          <w:szCs w:val="32"/>
        </w:rPr>
        <w:t>毫米。总用水量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1.13</w:t>
      </w:r>
      <w:r>
        <w:rPr>
          <w:rFonts w:ascii="Times New Roman" w:hAnsi="Times New Roman" w:eastAsia="方正仿宋_GBK" w:cs="Times New Roman"/>
          <w:sz w:val="32"/>
          <w:szCs w:val="32"/>
        </w:rPr>
        <w:t>亿立方米。治理水土流失面积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101.29</w:t>
      </w:r>
      <w:r>
        <w:rPr>
          <w:rFonts w:ascii="Times New Roman" w:hAnsi="Times New Roman" w:eastAsia="方正仿宋_GBK" w:cs="Times New Roman"/>
          <w:sz w:val="32"/>
          <w:szCs w:val="32"/>
        </w:rPr>
        <w:t>平方公里。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全区自然保护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地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8</w:t>
      </w:r>
      <w:r>
        <w:rPr>
          <w:rFonts w:ascii="Times New Roman" w:hAnsi="Times New Roman" w:eastAsia="方正仿宋_GBK" w:cs="Times New Roman"/>
          <w:sz w:val="32"/>
          <w:szCs w:val="32"/>
        </w:rPr>
        <w:t>个，其中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国家级自然保护地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3个，</w:t>
      </w:r>
      <w:r>
        <w:rPr>
          <w:rFonts w:ascii="Times New Roman" w:hAnsi="Times New Roman" w:eastAsia="方正仿宋_GBK" w:cs="Times New Roman"/>
          <w:sz w:val="32"/>
          <w:szCs w:val="32"/>
        </w:rPr>
        <w:t>市级自然保护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地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4</w:t>
      </w:r>
      <w:r>
        <w:rPr>
          <w:rFonts w:ascii="Times New Roman" w:hAnsi="Times New Roman" w:eastAsia="方正仿宋_GBK" w:cs="Times New Roman"/>
          <w:sz w:val="32"/>
          <w:szCs w:val="32"/>
        </w:rPr>
        <w:t>个。全区森林覆盖率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65</w:t>
      </w:r>
      <w:r>
        <w:rPr>
          <w:rFonts w:ascii="Times New Roman" w:hAnsi="Times New Roman" w:eastAsia="方正仿宋_GBK" w:cs="Times New Roman"/>
          <w:sz w:val="32"/>
          <w:szCs w:val="32"/>
        </w:rPr>
        <w:t>%，比上年提高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4.8</w:t>
      </w:r>
      <w:r>
        <w:rPr>
          <w:rFonts w:ascii="Times New Roman" w:hAnsi="Times New Roman" w:eastAsia="方正仿宋_GBK" w:cs="Times New Roman"/>
          <w:sz w:val="32"/>
          <w:szCs w:val="32"/>
        </w:rPr>
        <w:t>个百分点。全年完成营造林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24.35</w:t>
      </w:r>
      <w:r>
        <w:rPr>
          <w:rFonts w:ascii="Times New Roman" w:hAnsi="Times New Roman" w:eastAsia="方正仿宋_GBK" w:cs="Times New Roman"/>
          <w:sz w:val="32"/>
          <w:szCs w:val="32"/>
        </w:rPr>
        <w:t>万亩。其中，新造林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7.2</w:t>
      </w:r>
      <w:r>
        <w:rPr>
          <w:rFonts w:ascii="Times New Roman" w:hAnsi="Times New Roman" w:eastAsia="方正仿宋_GBK" w:cs="Times New Roman"/>
          <w:sz w:val="32"/>
          <w:szCs w:val="32"/>
        </w:rPr>
        <w:t>万亩；封山育林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3.15</w:t>
      </w:r>
      <w:r>
        <w:rPr>
          <w:rFonts w:ascii="Times New Roman" w:hAnsi="Times New Roman" w:eastAsia="方正仿宋_GBK" w:cs="Times New Roman"/>
          <w:sz w:val="32"/>
          <w:szCs w:val="32"/>
        </w:rPr>
        <w:t>万亩；退化林修复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5</w:t>
      </w:r>
      <w:r>
        <w:rPr>
          <w:rFonts w:ascii="Times New Roman" w:hAnsi="Times New Roman" w:eastAsia="方正仿宋_GBK" w:cs="Times New Roman"/>
          <w:sz w:val="32"/>
          <w:szCs w:val="32"/>
        </w:rPr>
        <w:t>万亩；中幼林抚育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9</w:t>
      </w:r>
      <w:r>
        <w:rPr>
          <w:rFonts w:ascii="Times New Roman" w:hAnsi="Times New Roman" w:eastAsia="方正仿宋_GBK" w:cs="Times New Roman"/>
          <w:sz w:val="32"/>
          <w:szCs w:val="32"/>
        </w:rPr>
        <w:t>万亩。建义务植树基地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31</w:t>
      </w:r>
      <w:r>
        <w:rPr>
          <w:rFonts w:ascii="Times New Roman" w:hAnsi="Times New Roman" w:eastAsia="方正仿宋_GBK" w:cs="Times New Roman"/>
          <w:sz w:val="32"/>
          <w:szCs w:val="32"/>
        </w:rPr>
        <w:t>个，完成义务植树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130</w:t>
      </w:r>
      <w:r>
        <w:rPr>
          <w:rFonts w:ascii="Times New Roman" w:hAnsi="Times New Roman" w:eastAsia="方正仿宋_GBK" w:cs="Times New Roman"/>
          <w:sz w:val="32"/>
          <w:szCs w:val="32"/>
        </w:rPr>
        <w:t>万株，义务植树尽责率达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95</w:t>
      </w:r>
      <w:r>
        <w:rPr>
          <w:rFonts w:ascii="Times New Roman" w:hAnsi="Times New Roman" w:eastAsia="方正仿宋_GBK" w:cs="Times New Roman"/>
          <w:sz w:val="32"/>
          <w:szCs w:val="32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201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8</w:t>
      </w:r>
      <w:r>
        <w:rPr>
          <w:rFonts w:ascii="Times New Roman" w:hAnsi="Times New Roman" w:eastAsia="方正仿宋_GBK" w:cs="Times New Roman"/>
          <w:sz w:val="32"/>
          <w:szCs w:val="32"/>
        </w:rPr>
        <w:t>年，全区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8</w:t>
      </w:r>
      <w:r>
        <w:rPr>
          <w:rFonts w:ascii="Times New Roman" w:hAnsi="Times New Roman" w:eastAsia="方正仿宋_GBK" w:cs="Times New Roman"/>
          <w:sz w:val="32"/>
          <w:szCs w:val="32"/>
        </w:rPr>
        <w:t>个监测断面中</w:t>
      </w:r>
      <w:r>
        <w:rPr>
          <w:rFonts w:ascii="Times New Roman" w:hAnsi="Times New Roman" w:eastAsia="方正仿宋_GBK" w:cs="Times New Roman"/>
          <w:color w:val="000000"/>
          <w:sz w:val="32"/>
          <w:szCs w:val="32"/>
        </w:rPr>
        <w:t>段溪河、阿蓬江河流水质保持在III类及以上，满足水域功能要求。</w:t>
      </w:r>
      <w:r>
        <w:rPr>
          <w:rFonts w:ascii="Times New Roman" w:hAnsi="Times New Roman" w:eastAsia="方正仿宋_GBK" w:cs="Times New Roman"/>
          <w:sz w:val="32"/>
          <w:szCs w:val="32"/>
        </w:rPr>
        <w:t>全区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3</w:t>
      </w:r>
      <w:r>
        <w:rPr>
          <w:rFonts w:ascii="Times New Roman" w:hAnsi="Times New Roman" w:eastAsia="方正仿宋_GBK" w:cs="Times New Roman"/>
          <w:sz w:val="32"/>
          <w:szCs w:val="32"/>
        </w:rPr>
        <w:t>个城区集中式生活饮用水源地水质达标率为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100</w:t>
      </w:r>
      <w:r>
        <w:rPr>
          <w:rFonts w:ascii="Times New Roman" w:hAnsi="Times New Roman" w:eastAsia="方正仿宋_GBK" w:cs="Times New Roman"/>
          <w:sz w:val="32"/>
          <w:szCs w:val="32"/>
        </w:rPr>
        <w:t>%，全区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23</w:t>
      </w:r>
      <w:r>
        <w:rPr>
          <w:rFonts w:ascii="Times New Roman" w:hAnsi="Times New Roman" w:eastAsia="方正仿宋_GBK" w:cs="Times New Roman"/>
          <w:sz w:val="32"/>
          <w:szCs w:val="32"/>
        </w:rPr>
        <w:t>个乡镇集中式生活饮用水源地水质达标率为100%。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全年城区空气质量优良天数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357</w:t>
      </w:r>
      <w:r>
        <w:rPr>
          <w:rFonts w:ascii="Times New Roman" w:hAnsi="Times New Roman" w:eastAsia="方正仿宋_GBK" w:cs="Times New Roman"/>
          <w:sz w:val="32"/>
          <w:szCs w:val="32"/>
        </w:rPr>
        <w:t>天。区域环境噪声平均等效声级为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49.1</w:t>
      </w:r>
      <w:r>
        <w:rPr>
          <w:rFonts w:ascii="Times New Roman" w:hAnsi="Times New Roman" w:eastAsia="方正仿宋_GBK" w:cs="Times New Roman"/>
          <w:sz w:val="32"/>
          <w:szCs w:val="32"/>
        </w:rPr>
        <w:t>分贝，与上年持平。城区环境空气中可吸入颗粒物（PM10）年均浓度为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39</w:t>
      </w:r>
      <w:r>
        <w:rPr>
          <w:rFonts w:ascii="Times New Roman" w:hAnsi="Times New Roman" w:eastAsia="方正仿宋_GBK" w:cs="Times New Roman"/>
          <w:sz w:val="32"/>
          <w:szCs w:val="32"/>
        </w:rPr>
        <w:t>微克/立方米、细颗粒物（PM2.5）年均浓度为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28</w:t>
      </w:r>
      <w:r>
        <w:rPr>
          <w:rFonts w:ascii="Times New Roman" w:hAnsi="Times New Roman" w:eastAsia="方正仿宋_GBK" w:cs="Times New Roman"/>
          <w:sz w:val="32"/>
          <w:szCs w:val="32"/>
        </w:rPr>
        <w:t>微克/立方米、二氧化硫（SO2）年均浓度为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15</w:t>
      </w:r>
      <w:r>
        <w:rPr>
          <w:rFonts w:ascii="Times New Roman" w:hAnsi="Times New Roman" w:eastAsia="方正仿宋_GBK" w:cs="Times New Roman"/>
          <w:sz w:val="32"/>
          <w:szCs w:val="32"/>
        </w:rPr>
        <w:t>微克/立方米。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Times New Roman" w:hAnsi="Times New Roman" w:eastAsia="仿宋_GB2312" w:cs="Times New Roman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Times New Roman" w:hAnsi="Times New Roman" w:eastAsia="仿宋_GB2312" w:cs="Times New Roman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ascii="Times New Roman" w:hAnsi="Times New Roman" w:eastAsia="仿宋_GB2312" w:cs="Times New Roman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ascii="Times New Roman" w:hAnsi="Times New Roman" w:eastAsia="仿宋_GB2312" w:cs="Times New Roman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ascii="Times New Roman" w:hAnsi="Times New Roman" w:eastAsia="仿宋_GB2312" w:cs="Times New Roman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ascii="Times New Roman" w:hAnsi="Times New Roman" w:eastAsia="仿宋_GB2312" w:cs="Times New Roman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ascii="Times New Roman" w:hAnsi="Times New Roman" w:eastAsia="仿宋_GB2312" w:cs="Times New Roman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Times New Roman" w:hAnsi="Times New Roman" w:eastAsia="仿宋_GB2312" w:cs="Times New Roman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hint="eastAsia" w:ascii="方正黑体_GBK" w:hAnsi="方正黑体_GBK" w:eastAsia="方正黑体_GBK" w:cs="方正黑体_GBK"/>
          <w:b/>
          <w:bCs/>
          <w:sz w:val="28"/>
          <w:szCs w:val="28"/>
        </w:rPr>
      </w:pPr>
      <w:r>
        <w:rPr>
          <w:rFonts w:hint="eastAsia" w:ascii="方正黑体_GBK" w:hAnsi="方正黑体_GBK" w:eastAsia="方正黑体_GBK" w:cs="方正黑体_GBK"/>
          <w:b/>
          <w:bCs/>
          <w:sz w:val="28"/>
          <w:szCs w:val="28"/>
        </w:rPr>
        <w:t>注：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1.本公报中201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8</w:t>
      </w:r>
      <w:r>
        <w:rPr>
          <w:rFonts w:ascii="Times New Roman" w:hAnsi="Times New Roman" w:eastAsia="仿宋_GB2312" w:cs="Times New Roman"/>
          <w:sz w:val="28"/>
          <w:szCs w:val="28"/>
        </w:rPr>
        <w:t>年数据均为初步统计数，部分数据因四舍五入的原因，存在着与分项合计不等的情况。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2.地区生产总值绝对数按现价计算，增长速度按可比价计算。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3.固定资产投资不含跨区项目。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4.常住人口是指在本乡镇（街道）居住半年以上的人口，或虽居住不满半年，但离开户口登记地半年以上人口以及户口待定人口。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5.民间固定资产投资是指具有集体、私营、个人性质的内资企事业单位以及由其控股（包括绝对控股和相对控股）的企业单位建造或购置固定资产的投资。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6.行业统计标准：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规模以上工业：年主营业务收入2000万元及以上的工业法人单位。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有资质的建筑业：有总承包、专业承包和劳务分包资质的建筑业法人单位。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限额以上批发和零售业：年主营业务收入2000万元及以上的批发业、年主营业务收入500万元及以上的零售业法人单位。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限额以上住宿和餐饮业：年主营业务收入200万元及以上的住宿和餐饮业法人单位。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房地产开发经营业：全部房地产开发经营业法人单位。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规模以上服务业：一是年营业收入1000万元及以上，或从业人员50人及以上服务业法人单位，包括：交通运输、仓储和邮政业，信息传输、软件和信息技术服务业，租赁和商务服务业，科学研究和技术服务业，水利、环境和公共设施管理业，教育，卫生和社会工作，以及物业管理、房地产中介服务、自有房地产经营活动和其他房地产业等行业。二是年营业收入500万元及以上，或年末从业人员50人及以上服务业法人单位，包括：居民服务、修理和其他服务业，文化、体育和娱乐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7.公报中所涉及的部门统计数据来自相关行业主管部门。</w:t>
      </w:r>
    </w:p>
    <w:p>
      <w:pPr>
        <w:bidi w:val="0"/>
        <w:rPr>
          <w:rFonts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ind w:firstLine="280" w:firstLineChars="100"/>
        <w:jc w:val="left"/>
        <w:rPr>
          <w:rFonts w:hint="default" w:ascii="方正仿宋_GBK" w:hAnsi="方正仿宋_GBK" w:eastAsia="方正仿宋_GBK" w:cs="方正仿宋_GBK"/>
          <w:sz w:val="28"/>
          <w:szCs w:val="28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2098" w:right="1474" w:bottom="1985" w:left="1588" w:header="1304" w:footer="850" w:gutter="0"/>
      <w:pgNumType w:fmt="numberInDash" w:start="3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w:pict>
        <v:shape id="_x0000_s4097" o:spid="_x0000_s4097" o:spt="202" type="#_x0000_t202" style="position:absolute;left:0pt;margin-top:-44.25pt;height:144pt;width:144pt;mso-position-horizontal:outside;mso-position-horizontal-relative:margin;mso-wrap-style:none;z-index:251658240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6"/>
                  <w:rPr>
                    <w:rFonts w:hint="eastAsia" w:eastAsiaTheme="minorEastAsia"/>
                    <w:lang w:eastAsia="zh-CN"/>
                  </w:rPr>
                </w:pP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  <w:lang w:eastAsia="zh-CN"/>
                  </w:rPr>
                  <w:fldChar w:fldCharType="begin"/>
                </w: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  <w:lang w:eastAsia="zh-CN"/>
                  </w:rPr>
                  <w:fldChar w:fldCharType="separate"/>
                </w: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  <w:lang w:eastAsia="zh-CN"/>
                  </w:rPr>
                  <w:t>1</w:t>
                </w: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  <w:lang w:eastAsia="zh-CN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58"/>
  <w:drawingGridVerticalSpacing w:val="290"/>
  <w:displayHorizontalDrawingGridEvery w:val="2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F0C1C"/>
    <w:rsid w:val="00001FC1"/>
    <w:rsid w:val="00011361"/>
    <w:rsid w:val="00017A77"/>
    <w:rsid w:val="00037218"/>
    <w:rsid w:val="000433B6"/>
    <w:rsid w:val="0005364D"/>
    <w:rsid w:val="00071D96"/>
    <w:rsid w:val="00075AC1"/>
    <w:rsid w:val="000858FE"/>
    <w:rsid w:val="000A126B"/>
    <w:rsid w:val="000A4868"/>
    <w:rsid w:val="000B46C1"/>
    <w:rsid w:val="000C4C68"/>
    <w:rsid w:val="000E3FD0"/>
    <w:rsid w:val="00143CBB"/>
    <w:rsid w:val="00175654"/>
    <w:rsid w:val="00180493"/>
    <w:rsid w:val="00184786"/>
    <w:rsid w:val="0019625B"/>
    <w:rsid w:val="00197352"/>
    <w:rsid w:val="001C7FEB"/>
    <w:rsid w:val="001D703F"/>
    <w:rsid w:val="00200CFF"/>
    <w:rsid w:val="0022787C"/>
    <w:rsid w:val="00231913"/>
    <w:rsid w:val="002748A4"/>
    <w:rsid w:val="0027673A"/>
    <w:rsid w:val="00280E8E"/>
    <w:rsid w:val="00287104"/>
    <w:rsid w:val="00291FAE"/>
    <w:rsid w:val="00297AE7"/>
    <w:rsid w:val="002A50DB"/>
    <w:rsid w:val="002A5447"/>
    <w:rsid w:val="002B2BE0"/>
    <w:rsid w:val="002B5920"/>
    <w:rsid w:val="002C0E68"/>
    <w:rsid w:val="002C1E97"/>
    <w:rsid w:val="002C2E48"/>
    <w:rsid w:val="002C72CE"/>
    <w:rsid w:val="002D63C5"/>
    <w:rsid w:val="002F0C1C"/>
    <w:rsid w:val="00324042"/>
    <w:rsid w:val="00335AEE"/>
    <w:rsid w:val="0034525B"/>
    <w:rsid w:val="003464E0"/>
    <w:rsid w:val="00355C63"/>
    <w:rsid w:val="00357D2F"/>
    <w:rsid w:val="003657AA"/>
    <w:rsid w:val="00393BAC"/>
    <w:rsid w:val="003B76C2"/>
    <w:rsid w:val="003C0213"/>
    <w:rsid w:val="003E401A"/>
    <w:rsid w:val="003F5583"/>
    <w:rsid w:val="003F6123"/>
    <w:rsid w:val="00410FEA"/>
    <w:rsid w:val="00430681"/>
    <w:rsid w:val="004316BD"/>
    <w:rsid w:val="004328DC"/>
    <w:rsid w:val="00433BA4"/>
    <w:rsid w:val="004476A4"/>
    <w:rsid w:val="00455CDE"/>
    <w:rsid w:val="00465160"/>
    <w:rsid w:val="00477C74"/>
    <w:rsid w:val="00483A9F"/>
    <w:rsid w:val="004A05F2"/>
    <w:rsid w:val="004C3FA6"/>
    <w:rsid w:val="004C4589"/>
    <w:rsid w:val="004D3612"/>
    <w:rsid w:val="004F09AE"/>
    <w:rsid w:val="004F353D"/>
    <w:rsid w:val="004F4976"/>
    <w:rsid w:val="00523EBC"/>
    <w:rsid w:val="0057771F"/>
    <w:rsid w:val="00582701"/>
    <w:rsid w:val="00587ED1"/>
    <w:rsid w:val="005906BE"/>
    <w:rsid w:val="005B1408"/>
    <w:rsid w:val="005D1635"/>
    <w:rsid w:val="00637831"/>
    <w:rsid w:val="00641F98"/>
    <w:rsid w:val="006420F9"/>
    <w:rsid w:val="00650634"/>
    <w:rsid w:val="00655452"/>
    <w:rsid w:val="00660350"/>
    <w:rsid w:val="006620DC"/>
    <w:rsid w:val="00673DC3"/>
    <w:rsid w:val="00687447"/>
    <w:rsid w:val="006A580E"/>
    <w:rsid w:val="006B3DD0"/>
    <w:rsid w:val="006C13A6"/>
    <w:rsid w:val="006C469E"/>
    <w:rsid w:val="006D16E6"/>
    <w:rsid w:val="006E17D3"/>
    <w:rsid w:val="00721263"/>
    <w:rsid w:val="00727CB1"/>
    <w:rsid w:val="007646AF"/>
    <w:rsid w:val="00782EAB"/>
    <w:rsid w:val="007B1913"/>
    <w:rsid w:val="007B2D34"/>
    <w:rsid w:val="007E1D9B"/>
    <w:rsid w:val="007F1E96"/>
    <w:rsid w:val="00826115"/>
    <w:rsid w:val="00836B1B"/>
    <w:rsid w:val="00843436"/>
    <w:rsid w:val="00846D72"/>
    <w:rsid w:val="008517EB"/>
    <w:rsid w:val="008530B6"/>
    <w:rsid w:val="008674B3"/>
    <w:rsid w:val="0088128D"/>
    <w:rsid w:val="008838E2"/>
    <w:rsid w:val="00884183"/>
    <w:rsid w:val="008A3909"/>
    <w:rsid w:val="008D1ACF"/>
    <w:rsid w:val="008E1BF4"/>
    <w:rsid w:val="008E632E"/>
    <w:rsid w:val="00906BC3"/>
    <w:rsid w:val="00912E78"/>
    <w:rsid w:val="00931570"/>
    <w:rsid w:val="00936B25"/>
    <w:rsid w:val="0096018C"/>
    <w:rsid w:val="00990461"/>
    <w:rsid w:val="00990EA3"/>
    <w:rsid w:val="009A1FF0"/>
    <w:rsid w:val="009B1468"/>
    <w:rsid w:val="009C36D3"/>
    <w:rsid w:val="009D32A8"/>
    <w:rsid w:val="009F01FD"/>
    <w:rsid w:val="009F2C6B"/>
    <w:rsid w:val="00A1088A"/>
    <w:rsid w:val="00A12195"/>
    <w:rsid w:val="00A37B31"/>
    <w:rsid w:val="00A848A9"/>
    <w:rsid w:val="00AA0F41"/>
    <w:rsid w:val="00AC099C"/>
    <w:rsid w:val="00AE41FB"/>
    <w:rsid w:val="00AF3E44"/>
    <w:rsid w:val="00AF5D97"/>
    <w:rsid w:val="00B01C0A"/>
    <w:rsid w:val="00B53634"/>
    <w:rsid w:val="00B709AB"/>
    <w:rsid w:val="00B76BE4"/>
    <w:rsid w:val="00B81188"/>
    <w:rsid w:val="00B84881"/>
    <w:rsid w:val="00B8585E"/>
    <w:rsid w:val="00B87CA1"/>
    <w:rsid w:val="00BC7412"/>
    <w:rsid w:val="00BD3DC9"/>
    <w:rsid w:val="00BF20FA"/>
    <w:rsid w:val="00C01378"/>
    <w:rsid w:val="00C069A5"/>
    <w:rsid w:val="00C34F85"/>
    <w:rsid w:val="00C35112"/>
    <w:rsid w:val="00C65E2B"/>
    <w:rsid w:val="00C660B0"/>
    <w:rsid w:val="00C77C2C"/>
    <w:rsid w:val="00C836B2"/>
    <w:rsid w:val="00C944CD"/>
    <w:rsid w:val="00C9640B"/>
    <w:rsid w:val="00CA6E83"/>
    <w:rsid w:val="00CB4B0E"/>
    <w:rsid w:val="00CC3E86"/>
    <w:rsid w:val="00CF614A"/>
    <w:rsid w:val="00D12B57"/>
    <w:rsid w:val="00D24CCE"/>
    <w:rsid w:val="00D415E9"/>
    <w:rsid w:val="00D54D13"/>
    <w:rsid w:val="00D62062"/>
    <w:rsid w:val="00DA2CC3"/>
    <w:rsid w:val="00DE360E"/>
    <w:rsid w:val="00DF3A1C"/>
    <w:rsid w:val="00E037E4"/>
    <w:rsid w:val="00E1745C"/>
    <w:rsid w:val="00E33B98"/>
    <w:rsid w:val="00E3683B"/>
    <w:rsid w:val="00E40553"/>
    <w:rsid w:val="00E40CEE"/>
    <w:rsid w:val="00E64405"/>
    <w:rsid w:val="00E8639A"/>
    <w:rsid w:val="00EB62B8"/>
    <w:rsid w:val="00F02296"/>
    <w:rsid w:val="00F03ACB"/>
    <w:rsid w:val="00F25381"/>
    <w:rsid w:val="00F317F0"/>
    <w:rsid w:val="00F54258"/>
    <w:rsid w:val="00F55F1A"/>
    <w:rsid w:val="00F565A8"/>
    <w:rsid w:val="00F77EB1"/>
    <w:rsid w:val="00F84D7F"/>
    <w:rsid w:val="00FA0426"/>
    <w:rsid w:val="00FA6866"/>
    <w:rsid w:val="00FC2A60"/>
    <w:rsid w:val="00FC5356"/>
    <w:rsid w:val="03A25DD5"/>
    <w:rsid w:val="08456499"/>
    <w:rsid w:val="09A435F6"/>
    <w:rsid w:val="0A3476E7"/>
    <w:rsid w:val="0B51149C"/>
    <w:rsid w:val="0B5760FB"/>
    <w:rsid w:val="0C0C02F1"/>
    <w:rsid w:val="0E312F47"/>
    <w:rsid w:val="10000E3A"/>
    <w:rsid w:val="1185470B"/>
    <w:rsid w:val="14180235"/>
    <w:rsid w:val="14650A2F"/>
    <w:rsid w:val="19BC4716"/>
    <w:rsid w:val="1A12607B"/>
    <w:rsid w:val="1A4735C7"/>
    <w:rsid w:val="1B241D43"/>
    <w:rsid w:val="1B3967DB"/>
    <w:rsid w:val="1CA87CFC"/>
    <w:rsid w:val="1FFF206D"/>
    <w:rsid w:val="20195B5D"/>
    <w:rsid w:val="21EB4A00"/>
    <w:rsid w:val="22217E71"/>
    <w:rsid w:val="24652B3A"/>
    <w:rsid w:val="2818228E"/>
    <w:rsid w:val="2A724969"/>
    <w:rsid w:val="331247DE"/>
    <w:rsid w:val="340155DD"/>
    <w:rsid w:val="375F73E6"/>
    <w:rsid w:val="3ACD0C92"/>
    <w:rsid w:val="3D000D9F"/>
    <w:rsid w:val="3EB26AD5"/>
    <w:rsid w:val="3EFF0123"/>
    <w:rsid w:val="3FB17F65"/>
    <w:rsid w:val="3FBB4CE9"/>
    <w:rsid w:val="40465252"/>
    <w:rsid w:val="41ED0643"/>
    <w:rsid w:val="42A37408"/>
    <w:rsid w:val="43577EC1"/>
    <w:rsid w:val="445F373A"/>
    <w:rsid w:val="44D024A4"/>
    <w:rsid w:val="45CD48C1"/>
    <w:rsid w:val="46A16D3B"/>
    <w:rsid w:val="49A14FC8"/>
    <w:rsid w:val="49F35511"/>
    <w:rsid w:val="4C8628C2"/>
    <w:rsid w:val="50D01CA9"/>
    <w:rsid w:val="50DE1912"/>
    <w:rsid w:val="512664E9"/>
    <w:rsid w:val="54234724"/>
    <w:rsid w:val="54EF4400"/>
    <w:rsid w:val="556423E7"/>
    <w:rsid w:val="59F26EC6"/>
    <w:rsid w:val="5AE96488"/>
    <w:rsid w:val="60201F09"/>
    <w:rsid w:val="603B22D0"/>
    <w:rsid w:val="606018A2"/>
    <w:rsid w:val="60632C6C"/>
    <w:rsid w:val="60A60CDE"/>
    <w:rsid w:val="61037F2F"/>
    <w:rsid w:val="626E1BE1"/>
    <w:rsid w:val="62D74854"/>
    <w:rsid w:val="64682EB9"/>
    <w:rsid w:val="64D32BCF"/>
    <w:rsid w:val="64DB28F5"/>
    <w:rsid w:val="650F3B6A"/>
    <w:rsid w:val="65B258C6"/>
    <w:rsid w:val="65BF6D82"/>
    <w:rsid w:val="66004CE9"/>
    <w:rsid w:val="679E7D23"/>
    <w:rsid w:val="67C23A24"/>
    <w:rsid w:val="6F2879C2"/>
    <w:rsid w:val="6F4B4E5F"/>
    <w:rsid w:val="70691640"/>
    <w:rsid w:val="71044EAA"/>
    <w:rsid w:val="72611FF5"/>
    <w:rsid w:val="72AD77D8"/>
    <w:rsid w:val="75E8749A"/>
    <w:rsid w:val="77211024"/>
    <w:rsid w:val="78BD5377"/>
    <w:rsid w:val="78BE7235"/>
    <w:rsid w:val="78EC10A4"/>
    <w:rsid w:val="79D13596"/>
    <w:rsid w:val="7C566840"/>
    <w:rsid w:val="7CE40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line="576" w:lineRule="auto"/>
      <w:outlineLvl w:val="0"/>
    </w:pPr>
    <w:rPr>
      <w:b/>
      <w:kern w:val="44"/>
      <w:sz w:val="4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caption"/>
    <w:basedOn w:val="1"/>
    <w:next w:val="1"/>
    <w:semiHidden/>
    <w:unhideWhenUsed/>
    <w:qFormat/>
    <w:uiPriority w:val="35"/>
    <w:rPr>
      <w:rFonts w:ascii="Arial" w:hAnsi="Arial" w:eastAsia="黑体"/>
      <w:sz w:val="20"/>
    </w:rPr>
  </w:style>
  <w:style w:type="paragraph" w:styleId="4">
    <w:name w:val="Date"/>
    <w:basedOn w:val="1"/>
    <w:next w:val="1"/>
    <w:link w:val="13"/>
    <w:semiHidden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页眉 Char"/>
    <w:basedOn w:val="9"/>
    <w:link w:val="7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9"/>
    <w:link w:val="6"/>
    <w:semiHidden/>
    <w:qFormat/>
    <w:uiPriority w:val="99"/>
    <w:rPr>
      <w:sz w:val="18"/>
      <w:szCs w:val="18"/>
    </w:rPr>
  </w:style>
  <w:style w:type="character" w:customStyle="1" w:styleId="12">
    <w:name w:val="批注框文本 Char"/>
    <w:basedOn w:val="9"/>
    <w:link w:val="5"/>
    <w:semiHidden/>
    <w:qFormat/>
    <w:uiPriority w:val="99"/>
    <w:rPr>
      <w:sz w:val="18"/>
      <w:szCs w:val="18"/>
    </w:rPr>
  </w:style>
  <w:style w:type="character" w:customStyle="1" w:styleId="13">
    <w:name w:val="日期 Char"/>
    <w:basedOn w:val="9"/>
    <w:link w:val="4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chart" Target="charts/chart3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istrator\Desktop\&#20998;&#26512;&#29992;&#22270;&#34920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G:\&#26446;&#31119;&#20016;\&#25968;&#25454;\2018&#24180;&#26376;&#25253;\12&#26376;\2018&#24180;&#40660;&#27743;12&#26376;&#21488;&#24080;&#36890;&#29992;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G:\&#26446;&#31119;&#20016;\&#25968;&#25454;\2018&#24180;&#20844;&#25253;\&#25910;&#20837;&#32454;&#39033;\&#20840;&#20307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spPr>
            <a:effectLst>
              <a:innerShdw blurRad="63500" dist="88900" dir="8100000">
                <a:prstClr val="black">
                  <a:alpha val="50000"/>
                </a:prstClr>
              </a:innerShdw>
            </a:effectLst>
          </c:spPr>
          <c:explosion val="0"/>
          <c:dPt>
            <c:idx val="0"/>
            <c:bubble3D val="0"/>
            <c:explosion val="5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>
                <a:innerShdw blurRad="63500" dist="88900" dir="8100000">
                  <a:prstClr val="black">
                    <a:alpha val="50000"/>
                  </a:prstClr>
                </a:innerShdw>
              </a:effectLst>
            </c:spPr>
          </c:dPt>
          <c:dPt>
            <c:idx val="1"/>
            <c:bubble3D val="0"/>
            <c:explosion val="6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>
                <a:innerShdw blurRad="63500" dist="88900" dir="8100000">
                  <a:prstClr val="black">
                    <a:alpha val="50000"/>
                  </a:prstClr>
                </a:innerShdw>
              </a:effectLst>
            </c:spPr>
          </c:dPt>
          <c:dPt>
            <c:idx val="2"/>
            <c:bubble3D val="0"/>
            <c:explosion val="6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>
                <a:innerShdw blurRad="63500" dist="88900" dir="8100000">
                  <a:prstClr val="black">
                    <a:alpha val="50000"/>
                  </a:prstClr>
                </a:innerShdw>
              </a:effectLst>
            </c:spPr>
          </c:dPt>
          <c:dLbls>
            <c:dLbl>
              <c:idx val="0"/>
              <c:layout>
                <c:manualLayout>
                  <c:x val="0.125914890203458"/>
                  <c:y val="0.0814149277538588"/>
                </c:manualLayout>
              </c:layout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>
                      <a:defRPr lang="zh-CN"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t>第一产业增加值</a:t>
                    </a:r>
                    <a:r>
                      <a:rPr lang="en-US" altLang="zh-CN"/>
                      <a:t>23.38</a:t>
                    </a:r>
                    <a:r>
                      <a:t>亿元，</a:t>
                    </a:r>
                  </a:p>
                  <a:p>
                    <a:pPr>
                      <a:defRPr lang="zh-CN"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t>占比9</a:t>
                    </a:r>
                    <a:r>
                      <a:rPr lang="en-US" altLang="zh-CN"/>
                      <a:t>.5</a:t>
                    </a:r>
                    <a:r>
                      <a:t>%</a:t>
                    </a: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>
                      <a:defRPr lang="zh-CN"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t>第二产业增加值</a:t>
                    </a:r>
                    <a:r>
                      <a:rPr lang="en-US" altLang="zh-CN"/>
                      <a:t>108.87</a:t>
                    </a:r>
                    <a:r>
                      <a:t>亿元，</a:t>
                    </a:r>
                  </a:p>
                  <a:p>
                    <a:pPr>
                      <a:defRPr lang="zh-CN"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t>占比44%</a:t>
                    </a:r>
                  </a:p>
                </c:rich>
              </c:tx>
              <c:dLblPos val="ctr"/>
              <c:showLegendKey val="0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0.24523347330668"/>
                  <c:y val="0.0365451557005463"/>
                </c:manualLayout>
              </c:layout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>
                      <a:defRPr lang="zh-CN"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t>第三产业增加值</a:t>
                    </a:r>
                    <a:r>
                      <a:rPr lang="en-US" altLang="zh-CN"/>
                      <a:t>115.04</a:t>
                    </a:r>
                    <a:r>
                      <a:rPr altLang="en-US"/>
                      <a:t>亿元，</a:t>
                    </a:r>
                    <a:endParaRPr altLang="en-US"/>
                  </a:p>
                  <a:p>
                    <a:pPr>
                      <a:defRPr lang="zh-CN"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altLang="en-US"/>
                      <a:t>占比</a:t>
                    </a:r>
                    <a:r>
                      <a:t>4</a:t>
                    </a:r>
                    <a:r>
                      <a:rPr lang="en-US" altLang="zh-CN"/>
                      <a:t>6.5</a:t>
                    </a:r>
                    <a:r>
                      <a:t>%</a:t>
                    </a: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ctr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[分析用图表.xlsx]Sheet1!$A$1:$A$3</c:f>
              <c:strCache>
                <c:ptCount val="3"/>
                <c:pt idx="0">
                  <c:v>第一产业</c:v>
                </c:pt>
                <c:pt idx="1">
                  <c:v>第二产业</c:v>
                </c:pt>
                <c:pt idx="2">
                  <c:v>第三产业</c:v>
                </c:pt>
              </c:strCache>
            </c:strRef>
          </c:cat>
          <c:val>
            <c:numRef>
              <c:f>[分析用图表.xlsx]Sheet1!$B$1:$B$3</c:f>
              <c:numCache>
                <c:formatCode>0.00%</c:formatCode>
                <c:ptCount val="3"/>
                <c:pt idx="0">
                  <c:v>0.095</c:v>
                </c:pt>
                <c:pt idx="1" c:formatCode="0%">
                  <c:v>0.44</c:v>
                </c:pt>
                <c:pt idx="2">
                  <c:v>0.465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accent1">
        <a:lumMod val="20000"/>
        <a:lumOff val="80000"/>
      </a:schemeClr>
    </a:solidFill>
    <a:ln w="9525" cap="flat" cmpd="sng" algn="ctr">
      <a:solidFill>
        <a:schemeClr val="tx1">
          <a:lumMod val="15000"/>
          <a:lumOff val="85000"/>
        </a:schemeClr>
      </a:solidFill>
      <a:prstDash val="solid"/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spPr>
            <a:effectLst>
              <a:innerShdw blurRad="63500" dist="50800" dir="8100000">
                <a:prstClr val="black">
                  <a:alpha val="50000"/>
                </a:prstClr>
              </a:innerShdw>
            </a:effectLst>
          </c:spPr>
          <c:explosion val="4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innerShdw blurRad="63500" dist="50800" dir="8100000">
                  <a:prstClr val="black">
                    <a:alpha val="50000"/>
                  </a:prstClr>
                </a:inn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innerShdw blurRad="63500" dist="50800" dir="8100000">
                  <a:prstClr val="black">
                    <a:alpha val="50000"/>
                  </a:prstClr>
                </a:innerShdw>
              </a:effectLst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innerShdw blurRad="63500" dist="50800" dir="8100000">
                  <a:prstClr val="black">
                    <a:alpha val="50000"/>
                  </a:prstClr>
                </a:innerShdw>
              </a:effectLst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innerShdw blurRad="63500" dist="50800" dir="8100000">
                  <a:prstClr val="black">
                    <a:alpha val="50000"/>
                  </a:prstClr>
                </a:innerShdw>
              </a:effectLst>
            </c:spPr>
          </c:dPt>
          <c:dLbls>
            <c:dLbl>
              <c:idx val="0"/>
              <c:layout>
                <c:manualLayout>
                  <c:x val="-0.114307557171479"/>
                  <c:y val="-0.0669149815146574"/>
                </c:manualLayout>
              </c:layout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>
                      <a:defRPr lang="zh-CN" sz="1000" b="1" i="0" u="none" strike="noStrike" kern="1200" baseline="0">
                        <a:solidFill>
                          <a:schemeClr val="l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t>基础设施投资</a:t>
                    </a:r>
                    <a:r>
                      <a:rPr lang="en-US" altLang="zh-CN"/>
                      <a:t>58.67</a:t>
                    </a:r>
                    <a:r>
                      <a:rPr altLang="en-US"/>
                      <a:t>亿元占比</a:t>
                    </a:r>
                    <a:r>
                      <a:t>47%</a:t>
                    </a:r>
                  </a:p>
                </c:rich>
              </c:tx>
              <c:numFmt formatCode="General" sourceLinked="1"/>
              <c:spPr>
                <a:solidFill>
                  <a:schemeClr val="accent1"/>
                </a:solidFill>
                <a:ln>
                  <a:noFill/>
                </a:ln>
                <a:effectLst>
                  <a:outerShdw blurRad="50800" dist="38100" dir="2700000" algn="tl" rotWithShape="0">
                    <a:prstClr val="black">
                      <a:alpha val="40000"/>
                    </a:prstClr>
                  </a:outerShdw>
                </a:effectLst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1000" b="1" i="0" u="none" strike="noStrike" kern="1200" baseline="0">
                      <a:solidFill>
                        <a:schemeClr val="lt1"/>
                      </a:solidFill>
                      <a:latin typeface="+mn-lt"/>
                      <a:ea typeface="+mn-ea"/>
                      <a:cs typeface="+mn-cs"/>
                    </a:defRPr>
                  </a:pPr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0.0896054323258504"/>
                  <c:y val="-0.201612506566159"/>
                </c:manualLayout>
              </c:layout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>
                      <a:defRPr lang="zh-CN" sz="1000" b="1" i="0" u="none" strike="noStrike" kern="1200" baseline="0">
                        <a:solidFill>
                          <a:schemeClr val="l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t>房地产开发投资</a:t>
                    </a:r>
                    <a:r>
                      <a:rPr lang="en-US" altLang="zh-CN"/>
                      <a:t>18.88</a:t>
                    </a:r>
                    <a:r>
                      <a:rPr altLang="en-US"/>
                      <a:t>亿元占比</a:t>
                    </a:r>
                    <a:r>
                      <a:t>15%</a:t>
                    </a:r>
                  </a:p>
                </c:rich>
              </c:tx>
              <c:numFmt formatCode="General" sourceLinked="1"/>
              <c:spPr>
                <a:solidFill>
                  <a:schemeClr val="accent2"/>
                </a:solidFill>
                <a:ln>
                  <a:noFill/>
                </a:ln>
                <a:effectLst>
                  <a:outerShdw blurRad="50800" dist="38100" dir="2700000" algn="tl" rotWithShape="0">
                    <a:prstClr val="black">
                      <a:alpha val="40000"/>
                    </a:prstClr>
                  </a:outerShdw>
                </a:effectLst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1000" b="1" i="0" u="none" strike="noStrike" kern="1200" baseline="0">
                      <a:solidFill>
                        <a:schemeClr val="lt1"/>
                      </a:solidFill>
                      <a:latin typeface="+mn-lt"/>
                      <a:ea typeface="+mn-ea"/>
                      <a:cs typeface="+mn-cs"/>
                    </a:defRPr>
                  </a:pPr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0.0856220853123731"/>
                  <c:y val="-0.0958820958086817"/>
                </c:manualLayout>
              </c:layout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>
                      <a:defRPr lang="zh-CN" sz="1000" b="1" i="0" u="none" strike="noStrike" kern="1200" baseline="0">
                        <a:solidFill>
                          <a:schemeClr val="l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t>制造业投资</a:t>
                    </a:r>
                    <a:r>
                      <a:rPr lang="en-US" altLang="zh-CN"/>
                      <a:t>25.96</a:t>
                    </a:r>
                    <a:r>
                      <a:rPr altLang="en-US"/>
                      <a:t>亿元占比</a:t>
                    </a:r>
                    <a:r>
                      <a:t>21%</a:t>
                    </a:r>
                  </a:p>
                </c:rich>
              </c:tx>
              <c:numFmt formatCode="General" sourceLinked="1"/>
              <c:spPr>
                <a:solidFill>
                  <a:schemeClr val="accent3"/>
                </a:solidFill>
                <a:ln>
                  <a:noFill/>
                </a:ln>
                <a:effectLst>
                  <a:outerShdw blurRad="50800" dist="38100" dir="2700000" algn="tl" rotWithShape="0">
                    <a:prstClr val="black">
                      <a:alpha val="40000"/>
                    </a:prstClr>
                  </a:outerShdw>
                </a:effectLst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1000" b="1" i="0" u="none" strike="noStrike" kern="1200" baseline="0">
                      <a:solidFill>
                        <a:schemeClr val="lt1"/>
                      </a:solidFill>
                      <a:latin typeface="+mn-lt"/>
                      <a:ea typeface="+mn-ea"/>
                      <a:cs typeface="+mn-cs"/>
                    </a:defRPr>
                  </a:pPr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0.008850441457222"/>
                  <c:y val="0.101748413343631"/>
                </c:manualLayout>
              </c:layout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>
                      <a:defRPr lang="zh-CN" sz="1000" b="1" i="0" u="none" strike="noStrike" kern="1200" baseline="0">
                        <a:solidFill>
                          <a:schemeClr val="l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t>其他投资</a:t>
                    </a:r>
                    <a:r>
                      <a:rPr lang="en-US" altLang="zh-CN"/>
                      <a:t>21.29</a:t>
                    </a:r>
                    <a:r>
                      <a:rPr altLang="en-US"/>
                      <a:t>亿元占比</a:t>
                    </a:r>
                    <a:r>
                      <a:t>17%</a:t>
                    </a:r>
                  </a:p>
                </c:rich>
              </c:tx>
              <c:numFmt formatCode="General" sourceLinked="1"/>
              <c:spPr>
                <a:solidFill>
                  <a:schemeClr val="accent4"/>
                </a:solidFill>
                <a:ln>
                  <a:noFill/>
                </a:ln>
                <a:effectLst>
                  <a:outerShdw blurRad="50800" dist="38100" dir="2700000" algn="tl" rotWithShape="0">
                    <a:prstClr val="black">
                      <a:alpha val="40000"/>
                    </a:prstClr>
                  </a:outerShdw>
                </a:effectLst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1000" b="1" i="0" u="none" strike="noStrike" kern="1200" baseline="0">
                      <a:solidFill>
                        <a:schemeClr val="lt1"/>
                      </a:solidFill>
                      <a:latin typeface="+mn-lt"/>
                      <a:ea typeface="+mn-ea"/>
                      <a:cs typeface="+mn-cs"/>
                    </a:defRPr>
                  </a:pPr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inEnd"/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[2018年黔江12月台帐通用.xlsx]Sheet1!$A$2:$A$5</c:f>
              <c:strCache>
                <c:ptCount val="4"/>
                <c:pt idx="0">
                  <c:v>基础设施</c:v>
                </c:pt>
                <c:pt idx="1">
                  <c:v>房地产开发</c:v>
                </c:pt>
                <c:pt idx="2">
                  <c:v>制造业</c:v>
                </c:pt>
                <c:pt idx="3">
                  <c:v>其他投资</c:v>
                </c:pt>
              </c:strCache>
            </c:strRef>
          </c:cat>
          <c:val>
            <c:numRef>
              <c:f>[2018年黔江12月台帐通用.xlsx]Sheet1!$B$2:$B$5</c:f>
              <c:numCache>
                <c:formatCode>General</c:formatCode>
                <c:ptCount val="4"/>
                <c:pt idx="0">
                  <c:v>58.67</c:v>
                </c:pt>
                <c:pt idx="1">
                  <c:v>18.88</c:v>
                </c:pt>
                <c:pt idx="2">
                  <c:v>25.96</c:v>
                </c:pt>
                <c:pt idx="3">
                  <c:v>21.29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accent1">
        <a:lumMod val="20000"/>
        <a:lumOff val="80000"/>
      </a:schemeClr>
    </a:solidFill>
    <a:ln w="9525" cap="flat" cmpd="sng" algn="ctr">
      <a:solidFill>
        <a:schemeClr val="dk1">
          <a:lumMod val="25000"/>
          <a:lumOff val="75000"/>
        </a:schemeClr>
      </a:solidFill>
      <a:prstDash val="solid"/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explosion val="6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dLbl>
              <c:idx val="0"/>
              <c:layout>
                <c:manualLayout>
                  <c:x val="-0.0712657113411611"/>
                  <c:y val="0.0708608933812321"/>
                </c:manualLayout>
              </c:layout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 defTabSz="914400">
                      <a:defRPr lang="zh-CN" sz="1000" b="1" i="0" u="none" strike="noStrike" kern="1200" baseline="0">
                        <a:solidFill>
                          <a:schemeClr val="l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t>食品烟酒支出</a:t>
                    </a:r>
                    <a:r>
                      <a:rPr lang="en-US" altLang="zh-CN"/>
                      <a:t>5616.55</a:t>
                    </a:r>
                    <a:r>
                      <a:rPr altLang="en-US"/>
                      <a:t>元占比</a:t>
                    </a:r>
                    <a:r>
                      <a:t>36%</a:t>
                    </a:r>
                  </a:p>
                </c:rich>
              </c:tx>
              <c:numFmt formatCode="General" sourceLinked="1"/>
              <c:spPr>
                <a:pattFill prst="pct75">
                  <a:fgClr>
                    <a:srgbClr val="4F80BD"/>
                  </a:fgClr>
                  <a:bgClr>
                    <a:srgbClr val="4F80BD"/>
                  </a:bgClr>
                </a:pattFill>
                <a:ln>
                  <a:noFill/>
                </a:ln>
                <a:effectLst>
                  <a:outerShdw blurRad="50800" dist="38100" dir="2700000" algn="tl" rotWithShape="0">
                    <a:prstClr val="black">
                      <a:alpha val="40000"/>
                    </a:prstClr>
                  </a:outerShdw>
                </a:effectLst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1000" b="1" i="0" u="none" strike="noStrike" kern="1200" baseline="0">
                      <a:solidFill>
                        <a:schemeClr val="lt1"/>
                      </a:solidFill>
                      <a:latin typeface="+mn-lt"/>
                      <a:ea typeface="+mn-ea"/>
                      <a:cs typeface="+mn-cs"/>
                    </a:defRPr>
                  </a:pPr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2222222222222"/>
                      <c:h val="0.18013856812933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0.0520045418627363"/>
                  <c:y val="-0.0694002552510047"/>
                </c:manualLayout>
              </c:layout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 defTabSz="914400">
                      <a:defRPr lang="zh-CN" sz="1000" b="1" i="0" u="none" strike="noStrike" kern="1200" baseline="0">
                        <a:solidFill>
                          <a:schemeClr val="l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t>衣着支出</a:t>
                    </a:r>
                    <a:r>
                      <a:rPr lang="en-US" altLang="zh-CN"/>
                      <a:t>1285.2</a:t>
                    </a:r>
                    <a:r>
                      <a:rPr altLang="en-US"/>
                      <a:t>元占比</a:t>
                    </a:r>
                    <a:r>
                      <a:t>8%</a:t>
                    </a:r>
                  </a:p>
                </c:rich>
              </c:tx>
              <c:numFmt formatCode="General" sourceLinked="1"/>
              <c:spPr>
                <a:pattFill prst="pct75">
                  <a:fgClr>
                    <a:srgbClr val="C0504D"/>
                  </a:fgClr>
                  <a:bgClr>
                    <a:srgbClr val="C0504D"/>
                  </a:bgClr>
                </a:pattFill>
                <a:ln>
                  <a:noFill/>
                </a:ln>
                <a:effectLst>
                  <a:outerShdw blurRad="50800" dist="38100" dir="2700000" algn="tl" rotWithShape="0">
                    <a:prstClr val="black">
                      <a:alpha val="40000"/>
                    </a:prstClr>
                  </a:outerShdw>
                </a:effectLst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1000" b="1" i="0" u="none" strike="noStrike" kern="1200" baseline="0">
                      <a:solidFill>
                        <a:schemeClr val="lt1"/>
                      </a:solidFill>
                      <a:latin typeface="+mn-lt"/>
                      <a:ea typeface="+mn-ea"/>
                      <a:cs typeface="+mn-cs"/>
                    </a:defRPr>
                  </a:pPr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95760473015474"/>
                      <c:h val="0.143859649122807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0.10033869854908"/>
                  <c:y val="-0.107009073487653"/>
                </c:manualLayout>
              </c:layout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 defTabSz="914400">
                      <a:defRPr lang="zh-CN" sz="1000" b="1" i="0" u="none" strike="noStrike" kern="1200" baseline="0">
                        <a:solidFill>
                          <a:schemeClr val="l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sz="800"/>
                      <a:t>居住支出</a:t>
                    </a:r>
                    <a:r>
                      <a:rPr lang="en-US" altLang="zh-CN" sz="800"/>
                      <a:t>2292.6</a:t>
                    </a:r>
                    <a:r>
                      <a:rPr altLang="en-US" sz="800"/>
                      <a:t>元占比</a:t>
                    </a:r>
                    <a:r>
                      <a:rPr sz="800"/>
                      <a:t>19%</a:t>
                    </a:r>
                    <a:endParaRPr sz="800"/>
                  </a:p>
                </c:rich>
              </c:tx>
              <c:numFmt formatCode="General" sourceLinked="1"/>
              <c:spPr>
                <a:pattFill prst="pct75">
                  <a:fgClr>
                    <a:srgbClr val="9BBB59"/>
                  </a:fgClr>
                  <a:bgClr>
                    <a:srgbClr val="9BBB59"/>
                  </a:bgClr>
                </a:pattFill>
                <a:ln>
                  <a:noFill/>
                </a:ln>
                <a:effectLst>
                  <a:outerShdw blurRad="50800" dist="38100" dir="2700000" algn="tl" rotWithShape="0">
                    <a:prstClr val="black">
                      <a:alpha val="40000"/>
                    </a:prstClr>
                  </a:outerShdw>
                </a:effectLst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1000" b="1" i="0" u="none" strike="noStrike" kern="1200" baseline="0">
                      <a:solidFill>
                        <a:schemeClr val="lt1"/>
                      </a:solidFill>
                      <a:latin typeface="+mn-lt"/>
                      <a:ea typeface="+mn-ea"/>
                      <a:cs typeface="+mn-cs"/>
                    </a:defRPr>
                  </a:pPr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8611111111111"/>
                      <c:h val="0.146882217090069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0.0831239452887088"/>
                  <c:y val="-0.100153460981734"/>
                </c:manualLayout>
              </c:layout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 defTabSz="914400">
                      <a:defRPr lang="zh-CN" sz="1000" b="1" i="0" u="none" strike="noStrike" kern="1200" baseline="0">
                        <a:solidFill>
                          <a:schemeClr val="l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sz="800"/>
                      <a:t>生活用品及服务支出</a:t>
                    </a:r>
                    <a:r>
                      <a:rPr lang="en-US" altLang="zh-CN" sz="800"/>
                      <a:t>1023.5</a:t>
                    </a:r>
                    <a:r>
                      <a:rPr altLang="en-US" sz="800"/>
                      <a:t>元占比</a:t>
                    </a:r>
                    <a:r>
                      <a:rPr sz="800"/>
                      <a:t>7%</a:t>
                    </a:r>
                    <a:endParaRPr sz="800"/>
                  </a:p>
                </c:rich>
              </c:tx>
              <c:numFmt formatCode="General" sourceLinked="1"/>
              <c:spPr>
                <a:pattFill prst="pct75">
                  <a:fgClr>
                    <a:srgbClr val="7F64A2"/>
                  </a:fgClr>
                  <a:bgClr>
                    <a:srgbClr val="7F64A2"/>
                  </a:bgClr>
                </a:pattFill>
                <a:ln>
                  <a:noFill/>
                </a:ln>
                <a:effectLst>
                  <a:outerShdw blurRad="50800" dist="38100" dir="2700000" algn="tl" rotWithShape="0">
                    <a:prstClr val="black">
                      <a:alpha val="40000"/>
                    </a:prstClr>
                  </a:outerShdw>
                </a:effectLst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1000" b="1" i="0" u="none" strike="noStrike" kern="1200" baseline="0">
                      <a:solidFill>
                        <a:schemeClr val="lt1"/>
                      </a:solidFill>
                      <a:latin typeface="+mn-lt"/>
                      <a:ea typeface="+mn-ea"/>
                      <a:cs typeface="+mn-cs"/>
                    </a:defRPr>
                  </a:pPr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326111111111111"/>
                      <c:h val="0.133949191685912"/>
                    </c:manualLayout>
                  </c15:layout>
                </c:ext>
              </c:extLst>
            </c:dLbl>
            <c:dLbl>
              <c:idx val="4"/>
              <c:layout>
                <c:manualLayout>
                  <c:x val="0.0920241019144088"/>
                  <c:y val="0.00904399805994777"/>
                </c:manualLayout>
              </c:layout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 defTabSz="914400">
                      <a:defRPr lang="zh-CN" sz="1000" b="1" i="0" u="none" strike="noStrike" kern="1200" baseline="0">
                        <a:solidFill>
                          <a:schemeClr val="l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t>交通通信支出</a:t>
                    </a:r>
                    <a:r>
                      <a:rPr lang="en-US" altLang="zh-CN"/>
                      <a:t>1786.8</a:t>
                    </a:r>
                    <a:r>
                      <a:rPr altLang="en-US"/>
                      <a:t>元占比</a:t>
                    </a:r>
                    <a:r>
                      <a:t>12%</a:t>
                    </a:r>
                  </a:p>
                </c:rich>
              </c:tx>
              <c:numFmt formatCode="General" sourceLinked="1"/>
              <c:spPr>
                <a:pattFill prst="pct75">
                  <a:fgClr>
                    <a:srgbClr val="4BACC6"/>
                  </a:fgClr>
                  <a:bgClr>
                    <a:srgbClr val="4BACC6"/>
                  </a:bgClr>
                </a:pattFill>
                <a:ln>
                  <a:noFill/>
                </a:ln>
                <a:effectLst>
                  <a:outerShdw blurRad="50800" dist="38100" dir="2700000" algn="tl" rotWithShape="0">
                    <a:prstClr val="black">
                      <a:alpha val="40000"/>
                    </a:prstClr>
                  </a:outerShdw>
                </a:effectLst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1000" b="1" i="0" u="none" strike="noStrike" kern="1200" baseline="0">
                      <a:solidFill>
                        <a:schemeClr val="lt1"/>
                      </a:solidFill>
                      <a:latin typeface="+mn-lt"/>
                      <a:ea typeface="+mn-ea"/>
                      <a:cs typeface="+mn-cs"/>
                    </a:defRPr>
                  </a:pPr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84941502075733"/>
                      <c:h val="0.155829903978052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0.0260069947119662"/>
                  <c:y val="0.119045552770139"/>
                </c:manualLayout>
              </c:layout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 defTabSz="914400">
                      <a:defRPr lang="zh-CN" sz="1000" b="1" i="0" u="none" strike="noStrike" kern="1200" baseline="0">
                        <a:solidFill>
                          <a:schemeClr val="l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sz="800"/>
                      <a:t>教育文化娱乐支出</a:t>
                    </a:r>
                    <a:r>
                      <a:rPr lang="en-US" altLang="zh-CN" sz="800"/>
                      <a:t>1543.2</a:t>
                    </a:r>
                    <a:r>
                      <a:rPr altLang="en-US" sz="800"/>
                      <a:t>元</a:t>
                    </a:r>
                    <a:endParaRPr altLang="en-US" sz="800"/>
                  </a:p>
                  <a:p>
                    <a:pPr defTabSz="914400">
                      <a:defRPr lang="zh-CN" sz="1000" b="1" i="0" u="none" strike="noStrike" kern="1200" baseline="0">
                        <a:solidFill>
                          <a:schemeClr val="l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altLang="en-US" sz="800"/>
                      <a:t>占比</a:t>
                    </a:r>
                    <a:r>
                      <a:rPr sz="800"/>
                      <a:t>10%</a:t>
                    </a:r>
                    <a:endParaRPr sz="800"/>
                  </a:p>
                </c:rich>
              </c:tx>
              <c:numFmt formatCode="General" sourceLinked="1"/>
              <c:spPr>
                <a:pattFill prst="pct75">
                  <a:fgClr>
                    <a:srgbClr val="F79646"/>
                  </a:fgClr>
                  <a:bgClr>
                    <a:srgbClr val="F79646"/>
                  </a:bgClr>
                </a:pattFill>
                <a:ln>
                  <a:noFill/>
                </a:ln>
                <a:effectLst>
                  <a:outerShdw blurRad="50800" dist="38100" dir="2700000" algn="tl" rotWithShape="0">
                    <a:prstClr val="black">
                      <a:alpha val="40000"/>
                    </a:prstClr>
                  </a:outerShdw>
                </a:effectLst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1000" b="1" i="0" u="none" strike="noStrike" kern="1200" baseline="0">
                      <a:solidFill>
                        <a:schemeClr val="lt1"/>
                      </a:solidFill>
                      <a:latin typeface="+mn-lt"/>
                      <a:ea typeface="+mn-ea"/>
                      <a:cs typeface="+mn-cs"/>
                    </a:defRPr>
                  </a:pPr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373333333333333"/>
                      <c:h val="0.158271604938272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-0.120739392392467"/>
                  <c:y val="0.037713811772823"/>
                </c:manualLayout>
              </c:layout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 defTabSz="914400">
                      <a:defRPr lang="zh-CN" sz="1000" b="1" i="0" u="none" strike="noStrike" kern="1200" baseline="0">
                        <a:solidFill>
                          <a:schemeClr val="l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t>医疗保健支出</a:t>
                    </a:r>
                    <a:r>
                      <a:rPr lang="en-US" altLang="zh-CN"/>
                      <a:t>963.7</a:t>
                    </a:r>
                    <a:r>
                      <a:rPr altLang="en-US"/>
                      <a:t>元占比</a:t>
                    </a:r>
                    <a:r>
                      <a:t>6%</a:t>
                    </a:r>
                  </a:p>
                </c:rich>
              </c:tx>
              <c:numFmt formatCode="General" sourceLinked="1"/>
              <c:spPr>
                <a:pattFill prst="pct75">
                  <a:fgClr>
                    <a:srgbClr val="2C4D75"/>
                  </a:fgClr>
                  <a:bgClr>
                    <a:srgbClr val="2C4D75"/>
                  </a:bgClr>
                </a:pattFill>
                <a:ln>
                  <a:noFill/>
                </a:ln>
                <a:effectLst>
                  <a:outerShdw blurRad="50800" dist="38100" dir="2700000" algn="tl" rotWithShape="0">
                    <a:prstClr val="black">
                      <a:alpha val="40000"/>
                    </a:prstClr>
                  </a:outerShdw>
                </a:effectLst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1000" b="1" i="0" u="none" strike="noStrike" kern="1200" baseline="0">
                      <a:solidFill>
                        <a:schemeClr val="lt1"/>
                      </a:solidFill>
                      <a:latin typeface="+mn-lt"/>
                      <a:ea typeface="+mn-ea"/>
                      <a:cs typeface="+mn-cs"/>
                    </a:defRPr>
                  </a:pPr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3925"/>
                      <c:h val="0.0852193995381062"/>
                    </c:manualLayout>
                  </c15:layout>
                </c:ext>
              </c:extLst>
            </c:dLbl>
            <c:dLbl>
              <c:idx val="7"/>
              <c:layout>
                <c:manualLayout>
                  <c:x val="0.244171486321398"/>
                  <c:y val="0.0461750164499377"/>
                </c:manualLayout>
              </c:layout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 defTabSz="914400">
                      <a:defRPr lang="zh-CN" sz="1000" b="1" i="0" u="none" strike="noStrike" kern="1200" baseline="0">
                        <a:solidFill>
                          <a:schemeClr val="l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sz="800"/>
                      <a:t>其他用品和服务支出</a:t>
                    </a:r>
                    <a:r>
                      <a:rPr lang="en-US" altLang="zh-CN" sz="800"/>
                      <a:t>321.2</a:t>
                    </a:r>
                    <a:r>
                      <a:rPr altLang="en-US" sz="800"/>
                      <a:t>元占比</a:t>
                    </a:r>
                    <a:r>
                      <a:rPr sz="800"/>
                      <a:t>2%</a:t>
                    </a:r>
                    <a:endParaRPr sz="800"/>
                  </a:p>
                </c:rich>
              </c:tx>
              <c:numFmt formatCode="General" sourceLinked="1"/>
              <c:spPr>
                <a:solidFill>
                  <a:srgbClr val="772C2A"/>
                </a:solidFill>
                <a:ln>
                  <a:noFill/>
                </a:ln>
                <a:effectLst>
                  <a:outerShdw blurRad="50800" dist="38100" dir="2700000" algn="tl" rotWithShape="0">
                    <a:prstClr val="black">
                      <a:alpha val="40000"/>
                    </a:prstClr>
                  </a:outerShdw>
                </a:effectLst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1000" b="1" i="0" u="none" strike="noStrike" kern="1200" baseline="0">
                      <a:solidFill>
                        <a:schemeClr val="lt1"/>
                      </a:solidFill>
                      <a:latin typeface="+mn-lt"/>
                      <a:ea typeface="+mn-ea"/>
                      <a:cs typeface="+mn-cs"/>
                    </a:defRPr>
                  </a:pPr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456805555555556"/>
                      <c:h val="0.0659722222222222"/>
                    </c:manualLayout>
                  </c15:layout>
                </c:ext>
              </c:extLst>
            </c:dLbl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[全体.xlsx]sheet1!$A$11:$A$18</c:f>
              <c:strCache>
                <c:ptCount val="8"/>
                <c:pt idx="0">
                  <c:v>  （一）食品烟酒</c:v>
                </c:pt>
                <c:pt idx="1">
                  <c:v>  （二）衣着</c:v>
                </c:pt>
                <c:pt idx="2">
                  <c:v>  （三）居住</c:v>
                </c:pt>
                <c:pt idx="3">
                  <c:v>  （四）生活用品及服务</c:v>
                </c:pt>
                <c:pt idx="4">
                  <c:v>  （五）交通通信</c:v>
                </c:pt>
                <c:pt idx="5">
                  <c:v>  （六）教育文化娱乐</c:v>
                </c:pt>
                <c:pt idx="6">
                  <c:v>  （七）医疗保健</c:v>
                </c:pt>
                <c:pt idx="7">
                  <c:v>  （八）其他用品和服务</c:v>
                </c:pt>
              </c:strCache>
            </c:strRef>
          </c:cat>
          <c:val>
            <c:numRef>
              <c:f>[全体.xlsx]sheet1!$D$11:$D$18</c:f>
              <c:numCache>
                <c:formatCode>0.0_ </c:formatCode>
                <c:ptCount val="8"/>
                <c:pt idx="0">
                  <c:v>5616.55397467613</c:v>
                </c:pt>
                <c:pt idx="1">
                  <c:v>1285.16009066881</c:v>
                </c:pt>
                <c:pt idx="2">
                  <c:v>2992.60583661743</c:v>
                </c:pt>
                <c:pt idx="3">
                  <c:v>1023.4866582113</c:v>
                </c:pt>
                <c:pt idx="4">
                  <c:v>1786.7638204869</c:v>
                </c:pt>
                <c:pt idx="5">
                  <c:v>1543.21913423353</c:v>
                </c:pt>
                <c:pt idx="6">
                  <c:v>963.735637262223</c:v>
                </c:pt>
                <c:pt idx="7">
                  <c:v>321.244510177961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accent1">
        <a:lumMod val="20000"/>
        <a:lumOff val="80000"/>
      </a:schemeClr>
    </a:solidFill>
    <a:ln w="9525" cap="flat" cmpd="sng" algn="ctr">
      <a:solidFill>
        <a:schemeClr val="dk1">
          <a:lumMod val="25000"/>
          <a:lumOff val="75000"/>
        </a:schemeClr>
      </a:solidFill>
      <a:prstDash val="solid"/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4D95391-2892-4D82-9CBF-AA0E52388DB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1294</Words>
  <Characters>7382</Characters>
  <Lines>61</Lines>
  <Paragraphs>17</Paragraphs>
  <TotalTime>29</TotalTime>
  <ScaleCrop>false</ScaleCrop>
  <LinksUpToDate>false</LinksUpToDate>
  <CharactersWithSpaces>8659</CharactersWithSpaces>
  <Application>WPS Office_11.1.0.8567_F1E327BC-269C-435d-A152-05C5408002CA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2019-03-19T02:39:00Z</dcterms:created>
  <dc:creator>顾铭</dc:creator>
  <cp:lastModifiedBy>巴罢</cp:lastModifiedBy>
  <cp:lastPrinted>2019-04-16T02:08:20Z</cp:lastPrinted>
  <dcterms:modified xsi:type="dcterms:W3CDTF">2019-04-16T02:15:48Z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2052-11.1.0.8567</vt:lpwstr>
  </property>
</Properties>
</file>