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97" w:lineRule="auto"/>
        <w:rPr>
          <w:rFonts w:ascii="方正楷体_GBK"/>
          <w:sz w:val="21"/>
        </w:rPr>
      </w:pPr>
    </w:p>
    <w:p>
      <w:pPr>
        <w:spacing w:before="163" w:line="214" w:lineRule="auto"/>
        <w:ind w:left="1368"/>
        <w:outlineLvl w:val="0"/>
        <w:rPr>
          <w:rFonts w:ascii="方正小标宋_GBK" w:hAnsi="方正小标宋_GBK" w:eastAsia="方正小标宋_GBK" w:cs="方正小标宋_GBK"/>
          <w:sz w:val="43"/>
          <w:szCs w:val="43"/>
        </w:rPr>
      </w:pPr>
      <w:r>
        <w:rPr>
          <w:rFonts w:ascii="方正小标宋_GBK" w:hAnsi="方正小标宋_GBK" w:eastAsia="方正小标宋_GBK" w:cs="方正小标宋_GBK"/>
          <w:spacing w:val="8"/>
          <w:sz w:val="43"/>
          <w:szCs w:val="43"/>
        </w:rPr>
        <w:t>重庆市黔江区水文勘测管理中心 202</w:t>
      </w:r>
      <w:r>
        <w:rPr>
          <w:rFonts w:hint="eastAsia" w:ascii="方正小标宋_GBK" w:hAnsi="方正小标宋_GBK" w:eastAsia="方正小标宋_GBK" w:cs="方正小标宋_GBK"/>
          <w:spacing w:val="8"/>
          <w:sz w:val="43"/>
          <w:szCs w:val="43"/>
          <w:lang w:val="en-US" w:eastAsia="zh-CN"/>
        </w:rPr>
        <w:t>6</w:t>
      </w:r>
      <w:r>
        <w:rPr>
          <w:rFonts w:ascii="方正小标宋_GBK" w:hAnsi="方正小标宋_GBK" w:eastAsia="方正小标宋_GBK" w:cs="方正小标宋_GBK"/>
          <w:spacing w:val="8"/>
          <w:sz w:val="43"/>
          <w:szCs w:val="43"/>
        </w:rPr>
        <w:t>年部门预算情况说明</w:t>
      </w:r>
    </w:p>
    <w:p>
      <w:pPr>
        <w:spacing w:line="243" w:lineRule="auto"/>
        <w:rPr>
          <w:rFonts w:ascii="方正楷体_GBK"/>
          <w:sz w:val="21"/>
        </w:rPr>
      </w:pPr>
    </w:p>
    <w:p>
      <w:pPr>
        <w:spacing w:line="244" w:lineRule="auto"/>
        <w:rPr>
          <w:rFonts w:ascii="方正楷体_GBK"/>
          <w:sz w:val="21"/>
        </w:rPr>
      </w:pPr>
    </w:p>
    <w:p>
      <w:pPr>
        <w:spacing w:before="112" w:line="236" w:lineRule="auto"/>
        <w:ind w:left="651"/>
        <w:outlineLvl w:val="1"/>
        <w:rPr>
          <w:rFonts w:ascii="方正黑体_GBK" w:hAnsi="方正黑体_GBK" w:eastAsia="方正黑体_GBK" w:cs="方正黑体_GBK"/>
          <w:sz w:val="31"/>
          <w:szCs w:val="31"/>
        </w:rPr>
      </w:pPr>
      <w:r>
        <w:rPr>
          <w:rFonts w:ascii="方正黑体_GBK" w:hAnsi="方正黑体_GBK" w:eastAsia="方正黑体_GBK" w:cs="方正黑体_GBK"/>
          <w:spacing w:val="4"/>
          <w:sz w:val="31"/>
          <w:szCs w:val="31"/>
        </w:rPr>
        <w:t>一、</w:t>
      </w:r>
      <w:r>
        <w:rPr>
          <w:rFonts w:ascii="方正黑体_GBK" w:hAnsi="方正黑体_GBK" w:eastAsia="方正黑体_GBK" w:cs="方正黑体_GBK"/>
          <w:spacing w:val="-61"/>
          <w:sz w:val="31"/>
          <w:szCs w:val="31"/>
        </w:rPr>
        <w:t xml:space="preserve"> </w:t>
      </w:r>
      <w:r>
        <w:rPr>
          <w:rFonts w:ascii="方正黑体_GBK" w:hAnsi="方正黑体_GBK" w:eastAsia="方正黑体_GBK" w:cs="方正黑体_GBK"/>
          <w:spacing w:val="4"/>
          <w:sz w:val="31"/>
          <w:szCs w:val="31"/>
        </w:rPr>
        <w:t>单位基本情况</w:t>
      </w:r>
    </w:p>
    <w:p>
      <w:pPr>
        <w:spacing w:before="134" w:line="235" w:lineRule="auto"/>
        <w:ind w:left="621"/>
        <w:outlineLvl w:val="2"/>
        <w:rPr>
          <w:rFonts w:ascii="方正楷体_GBK" w:hAnsi="方正楷体_GBK" w:eastAsia="方正楷体_GBK" w:cs="方正楷体_GBK"/>
          <w:sz w:val="31"/>
          <w:szCs w:val="31"/>
        </w:rPr>
      </w:pPr>
      <w:r>
        <w:rPr>
          <w:rFonts w:ascii="方正楷体_GBK" w:hAnsi="方正楷体_GBK" w:eastAsia="方正楷体_GBK" w:cs="方正楷体_GBK"/>
          <w:spacing w:val="9"/>
          <w:sz w:val="31"/>
          <w:szCs w:val="31"/>
        </w:rPr>
        <w:t>（一）职能职责。</w:t>
      </w:r>
    </w:p>
    <w:p>
      <w:pPr>
        <w:pStyle w:val="2"/>
        <w:spacing w:before="134" w:line="299" w:lineRule="auto"/>
        <w:ind w:left="10" w:firstLine="641"/>
      </w:pPr>
      <w:r>
        <w:rPr>
          <w:spacing w:val="3"/>
        </w:rPr>
        <w:t>承担日常水情旱情监测预警工作；</w:t>
      </w:r>
      <w:r>
        <w:rPr>
          <w:spacing w:val="-81"/>
        </w:rPr>
        <w:t xml:space="preserve"> </w:t>
      </w:r>
      <w:r>
        <w:rPr>
          <w:spacing w:val="3"/>
        </w:rPr>
        <w:t>负责全区水文水资源监测工作、水文站网建设和管</w:t>
      </w:r>
      <w:r>
        <w:rPr>
          <w:spacing w:val="2"/>
        </w:rPr>
        <w:t>理工作；对</w:t>
      </w:r>
      <w:r>
        <w:t xml:space="preserve"> </w:t>
      </w:r>
      <w:r>
        <w:rPr>
          <w:spacing w:val="7"/>
        </w:rPr>
        <w:t>江河湖库和地下水实施监测，编制水文水资源信息、情报预报；负责水旱灾害防御、</w:t>
      </w:r>
      <w:r>
        <w:rPr>
          <w:spacing w:val="-65"/>
        </w:rPr>
        <w:t xml:space="preserve"> </w:t>
      </w:r>
      <w:r>
        <w:rPr>
          <w:spacing w:val="7"/>
        </w:rPr>
        <w:t>山洪灾害治理、</w:t>
      </w:r>
      <w:r>
        <w:t xml:space="preserve"> </w:t>
      </w:r>
      <w:r>
        <w:rPr>
          <w:spacing w:val="7"/>
        </w:rPr>
        <w:t>水利水毁工程修复工作；承担超标洪水防御和水库安全的技术支撑工</w:t>
      </w:r>
      <w:r>
        <w:rPr>
          <w:spacing w:val="6"/>
        </w:rPr>
        <w:t>作；完成区委、区政府和区水利</w:t>
      </w:r>
      <w:r>
        <w:t xml:space="preserve"> </w:t>
      </w:r>
      <w:r>
        <w:rPr>
          <w:spacing w:val="6"/>
        </w:rPr>
        <w:t>局交办的其他任务。</w:t>
      </w:r>
    </w:p>
    <w:p>
      <w:pPr>
        <w:spacing w:before="57" w:line="235" w:lineRule="auto"/>
        <w:ind w:left="621"/>
        <w:rPr>
          <w:rFonts w:ascii="方正楷体_GBK" w:hAnsi="方正楷体_GBK" w:eastAsia="方正楷体_GBK" w:cs="方正楷体_GBK"/>
          <w:sz w:val="31"/>
          <w:szCs w:val="31"/>
        </w:rPr>
      </w:pPr>
      <w:r>
        <w:rPr>
          <w:rFonts w:ascii="方正楷体_GBK" w:hAnsi="方正楷体_GBK" w:eastAsia="方正楷体_GBK" w:cs="方正楷体_GBK"/>
          <w:spacing w:val="9"/>
          <w:sz w:val="31"/>
          <w:szCs w:val="31"/>
        </w:rPr>
        <w:t>（二）单位构成。</w:t>
      </w:r>
    </w:p>
    <w:p>
      <w:pPr>
        <w:pStyle w:val="2"/>
        <w:spacing w:before="172" w:line="313" w:lineRule="auto"/>
        <w:ind w:right="87" w:firstLine="660"/>
      </w:pPr>
      <w:r>
        <w:rPr>
          <w:spacing w:val="6"/>
        </w:rPr>
        <w:t>重庆市黔江区水文勘测管理中心为区水利局管理的正科级全额拨款公益一类事业单位，事业编制</w:t>
      </w:r>
      <w:r>
        <w:rPr>
          <w:spacing w:val="12"/>
        </w:rPr>
        <w:t xml:space="preserve"> </w:t>
      </w:r>
      <w:r>
        <w:rPr>
          <w:spacing w:val="1"/>
        </w:rPr>
        <w:t>5</w:t>
      </w:r>
      <w:r>
        <w:rPr>
          <w:spacing w:val="-37"/>
        </w:rPr>
        <w:t xml:space="preserve"> </w:t>
      </w:r>
      <w:r>
        <w:rPr>
          <w:spacing w:val="1"/>
        </w:rPr>
        <w:t>名，领导职数</w:t>
      </w:r>
      <w:r>
        <w:rPr>
          <w:spacing w:val="-48"/>
        </w:rPr>
        <w:t xml:space="preserve"> </w:t>
      </w:r>
      <w:r>
        <w:rPr>
          <w:spacing w:val="1"/>
        </w:rPr>
        <w:t>2</w:t>
      </w:r>
      <w:r>
        <w:rPr>
          <w:spacing w:val="-37"/>
        </w:rPr>
        <w:t xml:space="preserve"> </w:t>
      </w:r>
      <w:r>
        <w:rPr>
          <w:spacing w:val="1"/>
        </w:rPr>
        <w:t>名。</w:t>
      </w:r>
    </w:p>
    <w:p>
      <w:pPr>
        <w:spacing w:line="236" w:lineRule="auto"/>
        <w:ind w:left="649"/>
        <w:outlineLvl w:val="1"/>
        <w:rPr>
          <w:rFonts w:ascii="方正黑体_GBK" w:hAnsi="方正黑体_GBK" w:eastAsia="方正黑体_GBK" w:cs="方正黑体_GBK"/>
          <w:sz w:val="31"/>
          <w:szCs w:val="31"/>
        </w:rPr>
      </w:pPr>
      <w:r>
        <w:rPr>
          <w:rFonts w:ascii="方正黑体_GBK" w:hAnsi="方正黑体_GBK" w:eastAsia="方正黑体_GBK" w:cs="方正黑体_GBK"/>
          <w:spacing w:val="5"/>
          <w:sz w:val="31"/>
          <w:szCs w:val="31"/>
        </w:rPr>
        <w:t>二、</w:t>
      </w:r>
      <w:r>
        <w:rPr>
          <w:rFonts w:ascii="方正黑体_GBK" w:hAnsi="方正黑体_GBK" w:eastAsia="方正黑体_GBK" w:cs="方正黑体_GBK"/>
          <w:spacing w:val="-60"/>
          <w:sz w:val="31"/>
          <w:szCs w:val="31"/>
        </w:rPr>
        <w:t xml:space="preserve"> </w:t>
      </w:r>
      <w:r>
        <w:rPr>
          <w:rFonts w:ascii="方正黑体_GBK" w:hAnsi="方正黑体_GBK" w:eastAsia="方正黑体_GBK" w:cs="方正黑体_GBK"/>
          <w:spacing w:val="5"/>
          <w:sz w:val="31"/>
          <w:szCs w:val="31"/>
        </w:rPr>
        <w:t>部门收支总体情况</w:t>
      </w:r>
    </w:p>
    <w:p>
      <w:pPr>
        <w:pStyle w:val="2"/>
        <w:spacing w:before="160" w:line="280" w:lineRule="auto"/>
        <w:ind w:left="13" w:right="87" w:firstLine="607"/>
      </w:pPr>
      <w:r>
        <w:rPr>
          <w:rFonts w:ascii="方正楷体_GBK" w:hAnsi="方正楷体_GBK" w:eastAsia="方正楷体_GBK" w:cs="方正楷体_GBK"/>
          <w:spacing w:val="5"/>
        </w:rPr>
        <w:t>（一）收入预算</w:t>
      </w:r>
      <w:r>
        <w:rPr>
          <w:spacing w:val="5"/>
        </w:rPr>
        <w:t>：202</w:t>
      </w:r>
      <w:r>
        <w:rPr>
          <w:rFonts w:hint="eastAsia"/>
          <w:spacing w:val="5"/>
          <w:lang w:val="en-US" w:eastAsia="zh-CN"/>
        </w:rPr>
        <w:t>6</w:t>
      </w:r>
      <w:r>
        <w:rPr>
          <w:spacing w:val="5"/>
        </w:rPr>
        <w:t>年年初预算数</w:t>
      </w:r>
      <w:r>
        <w:rPr>
          <w:spacing w:val="-45"/>
        </w:rPr>
        <w:t xml:space="preserve"> </w:t>
      </w:r>
      <w:r>
        <w:rPr>
          <w:rFonts w:hint="eastAsia"/>
          <w:spacing w:val="5"/>
          <w:lang w:val="en-US" w:eastAsia="zh-CN"/>
        </w:rPr>
        <w:t>117.96</w:t>
      </w:r>
      <w:r>
        <w:rPr>
          <w:spacing w:val="5"/>
        </w:rPr>
        <w:t>万元，其中：</w:t>
      </w:r>
      <w:r>
        <w:rPr>
          <w:rFonts w:hint="eastAsia"/>
          <w:spacing w:val="5"/>
          <w:lang w:eastAsia="zh-CN"/>
        </w:rPr>
        <w:t>一般公共预算财政拨款</w:t>
      </w:r>
      <w:r>
        <w:rPr>
          <w:rFonts w:hint="eastAsia"/>
          <w:spacing w:val="5"/>
          <w:lang w:val="en-US" w:eastAsia="zh-CN"/>
        </w:rPr>
        <w:t>117.96</w:t>
      </w:r>
      <w:r>
        <w:rPr>
          <w:spacing w:val="5"/>
        </w:rPr>
        <w:t>万元。收入</w:t>
      </w:r>
      <w:r>
        <w:t xml:space="preserve"> </w:t>
      </w:r>
      <w:r>
        <w:rPr>
          <w:spacing w:val="5"/>
        </w:rPr>
        <w:t>较去年增加</w:t>
      </w:r>
      <w:r>
        <w:rPr>
          <w:spacing w:val="-37"/>
        </w:rPr>
        <w:t xml:space="preserve"> </w:t>
      </w:r>
      <w:r>
        <w:rPr>
          <w:rFonts w:hint="eastAsia"/>
          <w:spacing w:val="5"/>
          <w:lang w:val="en-US" w:eastAsia="zh-CN"/>
        </w:rPr>
        <w:t>6.32</w:t>
      </w:r>
      <w:r>
        <w:rPr>
          <w:spacing w:val="-27"/>
        </w:rPr>
        <w:t xml:space="preserve"> </w:t>
      </w:r>
      <w:r>
        <w:rPr>
          <w:spacing w:val="5"/>
        </w:rPr>
        <w:t>万元，主要原因是</w:t>
      </w:r>
      <w:r>
        <w:rPr>
          <w:rFonts w:hint="eastAsia"/>
          <w:spacing w:val="5"/>
          <w:lang w:eastAsia="zh-CN"/>
        </w:rPr>
        <w:t>一般公共预算财政拨款</w:t>
      </w:r>
      <w:r>
        <w:rPr>
          <w:spacing w:val="5"/>
        </w:rPr>
        <w:t>收入增加</w:t>
      </w:r>
      <w:r>
        <w:rPr>
          <w:rFonts w:hint="eastAsia"/>
          <w:spacing w:val="5"/>
          <w:lang w:val="en-US" w:eastAsia="zh-CN"/>
        </w:rPr>
        <w:t>6.32</w:t>
      </w:r>
      <w:r>
        <w:rPr>
          <w:spacing w:val="-37"/>
        </w:rPr>
        <w:t>万元。</w:t>
      </w:r>
    </w:p>
    <w:p>
      <w:pPr>
        <w:pStyle w:val="2"/>
        <w:spacing w:before="165" w:line="229" w:lineRule="auto"/>
        <w:ind w:left="621"/>
      </w:pPr>
      <w:r>
        <w:rPr>
          <w:rFonts w:ascii="方正楷体_GBK" w:hAnsi="方正楷体_GBK" w:eastAsia="方正楷体_GBK" w:cs="方正楷体_GBK"/>
          <w:spacing w:val="7"/>
        </w:rPr>
        <w:t>（</w:t>
      </w:r>
      <w:r>
        <w:rPr>
          <w:rFonts w:ascii="方正楷体_GBK" w:hAnsi="方正楷体_GBK" w:eastAsia="方正楷体_GBK" w:cs="方正楷体_GBK"/>
          <w:spacing w:val="-47"/>
        </w:rPr>
        <w:t xml:space="preserve"> </w:t>
      </w:r>
      <w:r>
        <w:rPr>
          <w:rFonts w:ascii="方正楷体_GBK" w:hAnsi="方正楷体_GBK" w:eastAsia="方正楷体_GBK" w:cs="方正楷体_GBK"/>
          <w:spacing w:val="7"/>
        </w:rPr>
        <w:t>二）</w:t>
      </w:r>
      <w:r>
        <w:rPr>
          <w:rFonts w:ascii="方正楷体_GBK" w:hAnsi="方正楷体_GBK" w:eastAsia="方正楷体_GBK" w:cs="方正楷体_GBK"/>
          <w:spacing w:val="-44"/>
        </w:rPr>
        <w:t xml:space="preserve"> </w:t>
      </w:r>
      <w:r>
        <w:rPr>
          <w:rFonts w:ascii="方正楷体_GBK" w:hAnsi="方正楷体_GBK" w:eastAsia="方正楷体_GBK" w:cs="方正楷体_GBK"/>
          <w:spacing w:val="7"/>
        </w:rPr>
        <w:t>支出预算</w:t>
      </w:r>
      <w:r>
        <w:rPr>
          <w:spacing w:val="7"/>
        </w:rPr>
        <w:t>：202</w:t>
      </w:r>
      <w:r>
        <w:rPr>
          <w:rFonts w:hint="eastAsia"/>
          <w:spacing w:val="7"/>
          <w:lang w:val="en-US" w:eastAsia="zh-CN"/>
        </w:rPr>
        <w:t>6</w:t>
      </w:r>
      <w:r>
        <w:rPr>
          <w:spacing w:val="-38"/>
        </w:rPr>
        <w:t xml:space="preserve"> </w:t>
      </w:r>
      <w:r>
        <w:rPr>
          <w:spacing w:val="7"/>
        </w:rPr>
        <w:t>年年初预算数</w:t>
      </w:r>
      <w:r>
        <w:rPr>
          <w:spacing w:val="-40"/>
        </w:rPr>
        <w:t xml:space="preserve"> </w:t>
      </w:r>
      <w:r>
        <w:rPr>
          <w:rFonts w:hint="eastAsia"/>
          <w:spacing w:val="7"/>
          <w:lang w:val="en-US" w:eastAsia="zh-CN"/>
        </w:rPr>
        <w:t>117.96</w:t>
      </w:r>
      <w:r>
        <w:rPr>
          <w:spacing w:val="-22"/>
        </w:rPr>
        <w:t xml:space="preserve"> </w:t>
      </w:r>
      <w:r>
        <w:rPr>
          <w:spacing w:val="6"/>
        </w:rPr>
        <w:t>万元，其中：农林水支出</w:t>
      </w:r>
      <w:r>
        <w:rPr>
          <w:rFonts w:hint="eastAsia"/>
          <w:spacing w:val="5"/>
          <w:lang w:val="en-US" w:eastAsia="zh-CN"/>
        </w:rPr>
        <w:t>88.34</w:t>
      </w:r>
      <w:r>
        <w:rPr>
          <w:spacing w:val="6"/>
        </w:rPr>
        <w:t>万元，社会保障和</w:t>
      </w:r>
    </w:p>
    <w:p>
      <w:pPr>
        <w:spacing w:line="229" w:lineRule="auto"/>
        <w:sectPr>
          <w:pgSz w:w="16839" w:h="11905"/>
          <w:pgMar w:top="1012" w:right="1354" w:bottom="0" w:left="1449" w:header="0" w:footer="0" w:gutter="0"/>
          <w:cols w:space="720" w:num="1"/>
        </w:sectPr>
      </w:pPr>
    </w:p>
    <w:p>
      <w:pPr>
        <w:spacing w:line="424" w:lineRule="auto"/>
        <w:rPr>
          <w:rFonts w:ascii="方正楷体_GBK"/>
          <w:sz w:val="21"/>
        </w:rPr>
      </w:pPr>
    </w:p>
    <w:p>
      <w:pPr>
        <w:pStyle w:val="2"/>
        <w:spacing w:before="111" w:line="315" w:lineRule="auto"/>
        <w:ind w:left="14" w:right="3" w:hanging="13"/>
      </w:pPr>
      <w:r>
        <w:rPr>
          <w:spacing w:val="3"/>
        </w:rPr>
        <w:t>就业支出</w:t>
      </w:r>
      <w:r>
        <w:rPr>
          <w:spacing w:val="-39"/>
        </w:rPr>
        <w:t xml:space="preserve"> </w:t>
      </w:r>
      <w:r>
        <w:rPr>
          <w:rFonts w:hint="eastAsia"/>
          <w:spacing w:val="3"/>
          <w:lang w:val="en-US" w:eastAsia="zh-CN"/>
        </w:rPr>
        <w:t>17.22</w:t>
      </w:r>
      <w:r>
        <w:rPr>
          <w:spacing w:val="3"/>
        </w:rPr>
        <w:t>万元，卫生健康支出</w:t>
      </w:r>
      <w:r>
        <w:rPr>
          <w:rFonts w:hint="eastAsia"/>
          <w:spacing w:val="3"/>
          <w:lang w:val="en-US" w:eastAsia="zh-CN"/>
        </w:rPr>
        <w:t>6.29</w:t>
      </w:r>
      <w:r>
        <w:rPr>
          <w:spacing w:val="3"/>
        </w:rPr>
        <w:t>万元，住房保障支出</w:t>
      </w:r>
      <w:r>
        <w:rPr>
          <w:spacing w:val="-50"/>
        </w:rPr>
        <w:t xml:space="preserve"> </w:t>
      </w:r>
      <w:r>
        <w:rPr>
          <w:rFonts w:hint="eastAsia"/>
          <w:spacing w:val="3"/>
          <w:lang w:val="en-US" w:eastAsia="zh-CN"/>
        </w:rPr>
        <w:t>6.11</w:t>
      </w:r>
      <w:r>
        <w:rPr>
          <w:spacing w:val="3"/>
        </w:rPr>
        <w:t>万元。支出较去年增加</w:t>
      </w:r>
      <w:r>
        <w:rPr>
          <w:rFonts w:hint="eastAsia"/>
          <w:spacing w:val="3"/>
          <w:lang w:val="en-US" w:eastAsia="zh-CN"/>
        </w:rPr>
        <w:t>6.32万</w:t>
      </w:r>
      <w:r>
        <w:rPr>
          <w:spacing w:val="3"/>
        </w:rPr>
        <w:t>元，</w:t>
      </w:r>
      <w:r>
        <w:t xml:space="preserve"> </w:t>
      </w:r>
      <w:r>
        <w:rPr>
          <w:spacing w:val="3"/>
        </w:rPr>
        <w:t>主要原因是基本支出增加</w:t>
      </w:r>
      <w:r>
        <w:rPr>
          <w:rFonts w:hint="eastAsia"/>
          <w:spacing w:val="3"/>
          <w:lang w:val="en-US" w:eastAsia="zh-CN"/>
        </w:rPr>
        <w:t>6.32</w:t>
      </w:r>
      <w:r>
        <w:rPr>
          <w:spacing w:val="3"/>
        </w:rPr>
        <w:t>万元。</w:t>
      </w:r>
    </w:p>
    <w:p>
      <w:pPr>
        <w:pStyle w:val="2"/>
        <w:spacing w:before="23" w:line="235" w:lineRule="auto"/>
        <w:ind w:left="659"/>
        <w:rPr>
          <w:rFonts w:ascii="方正黑体_GBK" w:hAnsi="方正黑体_GBK" w:eastAsia="方正黑体_GBK" w:cs="方正黑体_GBK"/>
        </w:rPr>
      </w:pPr>
      <w:r>
        <w:rPr>
          <w:spacing w:val="6"/>
        </w:rPr>
        <w:t>三、</w:t>
      </w:r>
      <w:r>
        <w:rPr>
          <w:rFonts w:ascii="方正黑体_GBK" w:hAnsi="方正黑体_GBK" w:eastAsia="方正黑体_GBK" w:cs="方正黑体_GBK"/>
          <w:spacing w:val="6"/>
        </w:rPr>
        <w:t>部门预算情况说明</w:t>
      </w:r>
    </w:p>
    <w:p>
      <w:pPr>
        <w:pStyle w:val="2"/>
        <w:spacing w:before="135" w:line="298" w:lineRule="auto"/>
        <w:ind w:right="102" w:firstLine="635"/>
      </w:pPr>
      <w:r>
        <w:rPr>
          <w:spacing w:val="-1"/>
        </w:rPr>
        <w:t>202</w:t>
      </w:r>
      <w:r>
        <w:rPr>
          <w:rFonts w:hint="eastAsia"/>
          <w:spacing w:val="-1"/>
          <w:lang w:val="en-US" w:eastAsia="zh-CN"/>
        </w:rPr>
        <w:t>6</w:t>
      </w:r>
      <w:r>
        <w:rPr>
          <w:spacing w:val="-1"/>
        </w:rPr>
        <w:t>年一般公共预算财政拨款收入</w:t>
      </w:r>
      <w:r>
        <w:rPr>
          <w:rFonts w:hint="eastAsia"/>
          <w:spacing w:val="3"/>
          <w:lang w:val="en-US" w:eastAsia="zh-CN"/>
        </w:rPr>
        <w:t>117.96万</w:t>
      </w:r>
      <w:r>
        <w:rPr>
          <w:spacing w:val="-1"/>
        </w:rPr>
        <w:t>元，一般公共预算财政拨款支出</w:t>
      </w:r>
      <w:r>
        <w:rPr>
          <w:spacing w:val="-64"/>
        </w:rPr>
        <w:t xml:space="preserve"> </w:t>
      </w:r>
      <w:r>
        <w:rPr>
          <w:rFonts w:hint="eastAsia"/>
          <w:spacing w:val="-1"/>
          <w:lang w:val="en-US" w:eastAsia="zh-CN"/>
        </w:rPr>
        <w:t>117.96</w:t>
      </w:r>
      <w:r>
        <w:rPr>
          <w:spacing w:val="-48"/>
        </w:rPr>
        <w:t xml:space="preserve"> </w:t>
      </w:r>
      <w:r>
        <w:rPr>
          <w:spacing w:val="-1"/>
        </w:rPr>
        <w:t>万元。比</w:t>
      </w:r>
      <w:r>
        <w:rPr>
          <w:spacing w:val="-67"/>
        </w:rPr>
        <w:t xml:space="preserve"> </w:t>
      </w:r>
      <w:r>
        <w:rPr>
          <w:spacing w:val="-1"/>
        </w:rPr>
        <w:t>202</w:t>
      </w:r>
      <w:r>
        <w:rPr>
          <w:rFonts w:hint="eastAsia"/>
          <w:spacing w:val="-1"/>
          <w:lang w:val="en-US" w:eastAsia="zh-CN"/>
        </w:rPr>
        <w:t>5</w:t>
      </w:r>
      <w:r>
        <w:t xml:space="preserve"> </w:t>
      </w:r>
      <w:r>
        <w:rPr>
          <w:spacing w:val="4"/>
        </w:rPr>
        <w:t>年增加</w:t>
      </w:r>
      <w:r>
        <w:rPr>
          <w:rFonts w:hint="eastAsia"/>
          <w:spacing w:val="3"/>
          <w:lang w:val="en-US" w:eastAsia="zh-CN"/>
        </w:rPr>
        <w:t>6.32</w:t>
      </w:r>
      <w:r>
        <w:rPr>
          <w:spacing w:val="4"/>
        </w:rPr>
        <w:t>万元。其中：基本支出</w:t>
      </w:r>
      <w:r>
        <w:rPr>
          <w:rFonts w:hint="eastAsia"/>
          <w:spacing w:val="3"/>
          <w:lang w:val="en-US" w:eastAsia="zh-CN"/>
        </w:rPr>
        <w:t>117.96</w:t>
      </w:r>
      <w:r>
        <w:rPr>
          <w:spacing w:val="4"/>
        </w:rPr>
        <w:t>万元，</w:t>
      </w:r>
      <w:r>
        <w:rPr>
          <w:spacing w:val="-80"/>
        </w:rPr>
        <w:t xml:space="preserve"> </w:t>
      </w:r>
      <w:r>
        <w:rPr>
          <w:spacing w:val="4"/>
        </w:rPr>
        <w:t>比</w:t>
      </w:r>
      <w:r>
        <w:rPr>
          <w:spacing w:val="-43"/>
        </w:rPr>
        <w:t xml:space="preserve"> </w:t>
      </w:r>
      <w:r>
        <w:rPr>
          <w:spacing w:val="4"/>
        </w:rPr>
        <w:t>202</w:t>
      </w:r>
      <w:r>
        <w:rPr>
          <w:rFonts w:hint="eastAsia"/>
          <w:spacing w:val="4"/>
          <w:lang w:val="en-US" w:eastAsia="zh-CN"/>
        </w:rPr>
        <w:t>5</w:t>
      </w:r>
      <w:r>
        <w:rPr>
          <w:spacing w:val="-39"/>
        </w:rPr>
        <w:t xml:space="preserve"> </w:t>
      </w:r>
      <w:r>
        <w:rPr>
          <w:spacing w:val="4"/>
        </w:rPr>
        <w:t>年增加</w:t>
      </w:r>
      <w:r>
        <w:rPr>
          <w:spacing w:val="-47"/>
        </w:rPr>
        <w:t xml:space="preserve"> </w:t>
      </w:r>
      <w:r>
        <w:rPr>
          <w:rFonts w:hint="eastAsia"/>
          <w:spacing w:val="4"/>
          <w:lang w:val="en-US" w:eastAsia="zh-CN"/>
        </w:rPr>
        <w:t>6.32</w:t>
      </w:r>
      <w:r>
        <w:rPr>
          <w:spacing w:val="-22"/>
        </w:rPr>
        <w:t xml:space="preserve"> </w:t>
      </w:r>
      <w:r>
        <w:rPr>
          <w:spacing w:val="4"/>
        </w:rPr>
        <w:t>万元，主要原因是人员经费增</w:t>
      </w:r>
      <w:r>
        <w:rPr>
          <w:spacing w:val="7"/>
        </w:rPr>
        <w:t>加</w:t>
      </w:r>
      <w:r>
        <w:rPr>
          <w:spacing w:val="-49"/>
        </w:rPr>
        <w:t xml:space="preserve"> </w:t>
      </w:r>
      <w:r>
        <w:rPr>
          <w:rFonts w:hint="eastAsia"/>
          <w:spacing w:val="7"/>
          <w:lang w:val="en-US" w:eastAsia="zh-CN"/>
        </w:rPr>
        <w:t>6.12</w:t>
      </w:r>
      <w:r>
        <w:rPr>
          <w:spacing w:val="7"/>
        </w:rPr>
        <w:t>万元，公用经费增加</w:t>
      </w:r>
      <w:r>
        <w:rPr>
          <w:spacing w:val="-42"/>
        </w:rPr>
        <w:t xml:space="preserve"> </w:t>
      </w:r>
      <w:r>
        <w:rPr>
          <w:spacing w:val="7"/>
        </w:rPr>
        <w:t>0.</w:t>
      </w:r>
      <w:r>
        <w:rPr>
          <w:rFonts w:hint="eastAsia"/>
          <w:spacing w:val="7"/>
          <w:lang w:val="en-US" w:eastAsia="zh-CN"/>
        </w:rPr>
        <w:t>2</w:t>
      </w:r>
      <w:r>
        <w:rPr>
          <w:spacing w:val="7"/>
        </w:rPr>
        <w:t>万元。主要用于保障在职人员工资福利、住房公积金及社</w:t>
      </w:r>
      <w:r>
        <w:rPr>
          <w:spacing w:val="6"/>
        </w:rPr>
        <w:t>会保险缴</w:t>
      </w:r>
      <w:r>
        <w:t xml:space="preserve"> </w:t>
      </w:r>
      <w:r>
        <w:rPr>
          <w:spacing w:val="8"/>
        </w:rPr>
        <w:t>费，保障部门正常运转的各项商品服务支出。</w:t>
      </w:r>
    </w:p>
    <w:p>
      <w:pPr>
        <w:spacing w:before="54" w:line="236" w:lineRule="auto"/>
        <w:ind w:left="646"/>
        <w:rPr>
          <w:rFonts w:ascii="方正黑体_GBK" w:hAnsi="方正黑体_GBK" w:eastAsia="方正黑体_GBK" w:cs="方正黑体_GBK"/>
          <w:sz w:val="31"/>
          <w:szCs w:val="31"/>
        </w:rPr>
      </w:pPr>
      <w:r>
        <w:rPr>
          <w:rFonts w:ascii="方正黑体_GBK" w:hAnsi="方正黑体_GBK" w:eastAsia="方正黑体_GBK" w:cs="方正黑体_GBK"/>
          <w:spacing w:val="-1"/>
          <w:sz w:val="31"/>
          <w:szCs w:val="31"/>
        </w:rPr>
        <w:t>三、</w:t>
      </w:r>
      <w:r>
        <w:rPr>
          <w:rFonts w:ascii="方正黑体_GBK" w:hAnsi="方正黑体_GBK" w:eastAsia="方正黑体_GBK" w:cs="方正黑体_GBK"/>
          <w:spacing w:val="84"/>
          <w:w w:val="101"/>
          <w:sz w:val="31"/>
          <w:szCs w:val="31"/>
        </w:rPr>
        <w:t xml:space="preserve"> </w:t>
      </w:r>
      <w:r>
        <w:rPr>
          <w:rFonts w:ascii="DejaVu Sans" w:hAnsi="DejaVu Sans" w:eastAsia="DejaVu Sans" w:cs="DejaVu Sans"/>
          <w:b/>
          <w:bCs/>
          <w:spacing w:val="-1"/>
          <w:sz w:val="31"/>
          <w:szCs w:val="31"/>
        </w:rPr>
        <w:t>“</w:t>
      </w:r>
      <w:r>
        <w:rPr>
          <w:rFonts w:ascii="方正黑体_GBK" w:hAnsi="方正黑体_GBK" w:eastAsia="方正黑体_GBK" w:cs="方正黑体_GBK"/>
          <w:spacing w:val="-1"/>
          <w:sz w:val="31"/>
          <w:szCs w:val="31"/>
        </w:rPr>
        <w:t>三公</w:t>
      </w:r>
      <w:r>
        <w:rPr>
          <w:rFonts w:ascii="DejaVu Sans" w:hAnsi="DejaVu Sans" w:eastAsia="DejaVu Sans" w:cs="DejaVu Sans"/>
          <w:b/>
          <w:bCs/>
          <w:spacing w:val="-1"/>
          <w:sz w:val="31"/>
          <w:szCs w:val="31"/>
        </w:rPr>
        <w:t>”</w:t>
      </w:r>
      <w:r>
        <w:rPr>
          <w:rFonts w:ascii="方正黑体_GBK" w:hAnsi="方正黑体_GBK" w:eastAsia="方正黑体_GBK" w:cs="方正黑体_GBK"/>
          <w:spacing w:val="-1"/>
          <w:sz w:val="31"/>
          <w:szCs w:val="31"/>
        </w:rPr>
        <w:t>经费情况说明</w:t>
      </w:r>
    </w:p>
    <w:p>
      <w:pPr>
        <w:pStyle w:val="2"/>
        <w:spacing w:before="134" w:line="297" w:lineRule="auto"/>
        <w:ind w:left="1" w:firstLine="792"/>
      </w:pPr>
      <w:r>
        <w:rPr>
          <w:spacing w:val="-5"/>
        </w:rPr>
        <w:t>202</w:t>
      </w:r>
      <w:r>
        <w:rPr>
          <w:rFonts w:hint="eastAsia"/>
          <w:spacing w:val="-5"/>
          <w:lang w:val="en-US" w:eastAsia="zh-CN"/>
        </w:rPr>
        <w:t>6</w:t>
      </w:r>
      <w:r>
        <w:rPr>
          <w:spacing w:val="-28"/>
        </w:rPr>
        <w:t xml:space="preserve"> </w:t>
      </w:r>
      <w:r>
        <w:rPr>
          <w:spacing w:val="-5"/>
        </w:rPr>
        <w:t>年</w:t>
      </w:r>
      <w:r>
        <w:rPr>
          <w:rFonts w:ascii="DejaVu Sans" w:hAnsi="DejaVu Sans" w:eastAsia="DejaVu Sans" w:cs="DejaVu Sans"/>
          <w:b/>
          <w:bCs/>
          <w:spacing w:val="-5"/>
        </w:rPr>
        <w:t>“</w:t>
      </w:r>
      <w:r>
        <w:rPr>
          <w:spacing w:val="-5"/>
        </w:rPr>
        <w:t>三公</w:t>
      </w:r>
      <w:r>
        <w:rPr>
          <w:rFonts w:ascii="DejaVu Sans" w:hAnsi="DejaVu Sans" w:eastAsia="DejaVu Sans" w:cs="DejaVu Sans"/>
          <w:b/>
          <w:bCs/>
          <w:spacing w:val="-5"/>
        </w:rPr>
        <w:t>”</w:t>
      </w:r>
      <w:r>
        <w:rPr>
          <w:spacing w:val="-5"/>
        </w:rPr>
        <w:t>经费预算</w:t>
      </w:r>
      <w:r>
        <w:rPr>
          <w:spacing w:val="-43"/>
        </w:rPr>
        <w:t xml:space="preserve"> </w:t>
      </w:r>
      <w:r>
        <w:rPr>
          <w:spacing w:val="-5"/>
        </w:rPr>
        <w:t>0.5</w:t>
      </w:r>
      <w:r>
        <w:rPr>
          <w:spacing w:val="-26"/>
        </w:rPr>
        <w:t xml:space="preserve"> </w:t>
      </w:r>
      <w:r>
        <w:rPr>
          <w:spacing w:val="-5"/>
        </w:rPr>
        <w:t>万元</w:t>
      </w:r>
      <w:r>
        <w:rPr>
          <w:spacing w:val="-80"/>
        </w:rPr>
        <w:t xml:space="preserve"> </w:t>
      </w:r>
      <w:r>
        <w:rPr>
          <w:spacing w:val="-5"/>
        </w:rPr>
        <w:t>，</w:t>
      </w:r>
      <w:r>
        <w:rPr>
          <w:rFonts w:hint="eastAsia"/>
          <w:spacing w:val="-5"/>
          <w:lang w:eastAsia="zh-CN"/>
        </w:rPr>
        <w:t>与</w:t>
      </w:r>
      <w:r>
        <w:rPr>
          <w:spacing w:val="-45"/>
        </w:rPr>
        <w:t xml:space="preserve"> </w:t>
      </w:r>
      <w:r>
        <w:rPr>
          <w:spacing w:val="-5"/>
        </w:rPr>
        <w:t>202</w:t>
      </w:r>
      <w:r>
        <w:rPr>
          <w:rFonts w:hint="eastAsia"/>
          <w:spacing w:val="-5"/>
          <w:lang w:val="en-US" w:eastAsia="zh-CN"/>
        </w:rPr>
        <w:t>5</w:t>
      </w:r>
      <w:r>
        <w:rPr>
          <w:spacing w:val="-39"/>
        </w:rPr>
        <w:t xml:space="preserve"> </w:t>
      </w:r>
      <w:r>
        <w:rPr>
          <w:spacing w:val="-5"/>
        </w:rPr>
        <w:t>年</w:t>
      </w:r>
      <w:r>
        <w:rPr>
          <w:rFonts w:hint="eastAsia"/>
          <w:spacing w:val="-5"/>
          <w:lang w:eastAsia="zh-CN"/>
        </w:rPr>
        <w:t>持平</w:t>
      </w:r>
      <w:r>
        <w:rPr>
          <w:spacing w:val="-5"/>
        </w:rPr>
        <w:t>。其中：因公出国（境）费用</w:t>
      </w:r>
      <w:r>
        <w:rPr>
          <w:spacing w:val="-43"/>
        </w:rPr>
        <w:t xml:space="preserve"> </w:t>
      </w:r>
      <w:r>
        <w:rPr>
          <w:spacing w:val="-5"/>
        </w:rPr>
        <w:t>0</w:t>
      </w:r>
      <w:r>
        <w:rPr>
          <w:spacing w:val="-26"/>
        </w:rPr>
        <w:t xml:space="preserve"> </w:t>
      </w:r>
      <w:r>
        <w:rPr>
          <w:spacing w:val="-5"/>
        </w:rPr>
        <w:t>万元；</w:t>
      </w:r>
      <w:r>
        <w:t xml:space="preserve"> 公务接待费</w:t>
      </w:r>
      <w:r>
        <w:rPr>
          <w:spacing w:val="-43"/>
        </w:rPr>
        <w:t xml:space="preserve"> </w:t>
      </w:r>
      <w:r>
        <w:t>0.5</w:t>
      </w:r>
      <w:r>
        <w:rPr>
          <w:spacing w:val="-25"/>
        </w:rPr>
        <w:t xml:space="preserve"> </w:t>
      </w:r>
      <w:r>
        <w:t>万元</w:t>
      </w:r>
      <w:r>
        <w:rPr>
          <w:spacing w:val="-81"/>
        </w:rPr>
        <w:t xml:space="preserve"> </w:t>
      </w:r>
      <w:r>
        <w:t>，</w:t>
      </w:r>
      <w:r>
        <w:rPr>
          <w:rFonts w:hint="eastAsia"/>
          <w:lang w:eastAsia="zh-CN"/>
        </w:rPr>
        <w:t>与</w:t>
      </w:r>
      <w:r>
        <w:rPr>
          <w:rFonts w:hint="eastAsia"/>
          <w:lang w:val="en-US" w:eastAsia="zh-CN"/>
        </w:rPr>
        <w:t>2025年持平</w:t>
      </w:r>
      <w:r>
        <w:rPr>
          <w:spacing w:val="-1"/>
        </w:rPr>
        <w:t>，主要原因是加强</w:t>
      </w:r>
      <w:r>
        <w:rPr>
          <w:rFonts w:ascii="DejaVu Sans" w:hAnsi="DejaVu Sans" w:eastAsia="DejaVu Sans" w:cs="DejaVu Sans"/>
          <w:b/>
          <w:bCs/>
          <w:spacing w:val="-1"/>
        </w:rPr>
        <w:t>“</w:t>
      </w:r>
      <w:r>
        <w:rPr>
          <w:spacing w:val="-1"/>
        </w:rPr>
        <w:t>三公</w:t>
      </w:r>
      <w:r>
        <w:rPr>
          <w:rFonts w:ascii="DejaVu Sans" w:hAnsi="DejaVu Sans" w:eastAsia="DejaVu Sans" w:cs="DejaVu Sans"/>
          <w:b/>
          <w:bCs/>
          <w:spacing w:val="-1"/>
        </w:rPr>
        <w:t>”</w:t>
      </w:r>
      <w:r>
        <w:rPr>
          <w:spacing w:val="-1"/>
        </w:rPr>
        <w:t>经费管理，严格规范接待，控</w:t>
      </w:r>
      <w:r>
        <w:rPr>
          <w:spacing w:val="2"/>
        </w:rPr>
        <w:t>制接待标准；公务用车运行维护费</w:t>
      </w:r>
      <w:r>
        <w:rPr>
          <w:spacing w:val="-45"/>
        </w:rPr>
        <w:t xml:space="preserve"> </w:t>
      </w:r>
      <w:r>
        <w:rPr>
          <w:spacing w:val="2"/>
        </w:rPr>
        <w:t>0</w:t>
      </w:r>
      <w:r>
        <w:rPr>
          <w:spacing w:val="-26"/>
        </w:rPr>
        <w:t xml:space="preserve"> </w:t>
      </w:r>
      <w:r>
        <w:rPr>
          <w:spacing w:val="2"/>
        </w:rPr>
        <w:t>万元，</w:t>
      </w:r>
      <w:r>
        <w:rPr>
          <w:spacing w:val="-83"/>
        </w:rPr>
        <w:t xml:space="preserve"> </w:t>
      </w:r>
      <w:r>
        <w:rPr>
          <w:spacing w:val="2"/>
        </w:rPr>
        <w:t>比</w:t>
      </w:r>
      <w:r>
        <w:rPr>
          <w:spacing w:val="-45"/>
        </w:rPr>
        <w:t xml:space="preserve"> </w:t>
      </w:r>
      <w:r>
        <w:rPr>
          <w:spacing w:val="2"/>
        </w:rPr>
        <w:t>202</w:t>
      </w:r>
      <w:r>
        <w:rPr>
          <w:rFonts w:hint="eastAsia"/>
          <w:spacing w:val="2"/>
          <w:lang w:val="en-US" w:eastAsia="zh-CN"/>
        </w:rPr>
        <w:t>5</w:t>
      </w:r>
      <w:r>
        <w:rPr>
          <w:spacing w:val="2"/>
        </w:rPr>
        <w:t>年</w:t>
      </w:r>
      <w:r>
        <w:rPr>
          <w:rFonts w:hint="eastAsia"/>
          <w:spacing w:val="2"/>
          <w:lang w:eastAsia="zh-CN"/>
        </w:rPr>
        <w:t>持平</w:t>
      </w:r>
      <w:r>
        <w:rPr>
          <w:spacing w:val="1"/>
        </w:rPr>
        <w:t>。</w:t>
      </w:r>
    </w:p>
    <w:p>
      <w:pPr>
        <w:spacing w:before="24" w:line="236" w:lineRule="auto"/>
        <w:ind w:left="639"/>
        <w:rPr>
          <w:rFonts w:ascii="方正黑体_GBK" w:hAnsi="方正黑体_GBK" w:eastAsia="方正黑体_GBK" w:cs="方正黑体_GBK"/>
          <w:sz w:val="31"/>
          <w:szCs w:val="31"/>
        </w:rPr>
      </w:pPr>
      <w:r>
        <w:rPr>
          <w:rFonts w:ascii="方正黑体_GBK" w:hAnsi="方正黑体_GBK" w:eastAsia="方正黑体_GBK" w:cs="方正黑体_GBK"/>
          <w:spacing w:val="6"/>
          <w:sz w:val="31"/>
          <w:szCs w:val="31"/>
        </w:rPr>
        <w:t>五、</w:t>
      </w:r>
      <w:r>
        <w:rPr>
          <w:rFonts w:ascii="方正黑体_GBK" w:hAnsi="方正黑体_GBK" w:eastAsia="方正黑体_GBK" w:cs="方正黑体_GBK"/>
          <w:spacing w:val="-53"/>
          <w:sz w:val="31"/>
          <w:szCs w:val="31"/>
        </w:rPr>
        <w:t xml:space="preserve"> </w:t>
      </w:r>
      <w:r>
        <w:rPr>
          <w:rFonts w:ascii="方正黑体_GBK" w:hAnsi="方正黑体_GBK" w:eastAsia="方正黑体_GBK" w:cs="方正黑体_GBK"/>
          <w:spacing w:val="6"/>
          <w:sz w:val="31"/>
          <w:szCs w:val="31"/>
        </w:rPr>
        <w:t>其他重要事项的情况说明</w:t>
      </w:r>
    </w:p>
    <w:p>
      <w:pPr>
        <w:pStyle w:val="2"/>
        <w:spacing w:before="94" w:line="330" w:lineRule="auto"/>
        <w:ind w:left="3" w:right="3" w:firstLine="610"/>
      </w:pPr>
      <w:r>
        <w:rPr>
          <w:rFonts w:ascii="方正楷体_GBK" w:hAnsi="方正楷体_GBK" w:eastAsia="方正楷体_GBK" w:cs="方正楷体_GBK"/>
          <w:spacing w:val="1"/>
        </w:rPr>
        <w:t>（一）机关运行经费</w:t>
      </w:r>
      <w:r>
        <w:rPr>
          <w:spacing w:val="1"/>
        </w:rPr>
        <w:t>。202</w:t>
      </w:r>
      <w:bookmarkStart w:id="0" w:name="_GoBack"/>
      <w:bookmarkEnd w:id="0"/>
      <w:r>
        <w:rPr>
          <w:rFonts w:hint="eastAsia"/>
          <w:spacing w:val="1"/>
          <w:lang w:val="en-US" w:eastAsia="zh-CN"/>
        </w:rPr>
        <w:t>6</w:t>
      </w:r>
      <w:r>
        <w:rPr>
          <w:spacing w:val="1"/>
        </w:rPr>
        <w:t>年一般公共预算财政拨款运行经费</w:t>
      </w:r>
      <w:r>
        <w:rPr>
          <w:rFonts w:hint="eastAsia"/>
          <w:spacing w:val="3"/>
          <w:lang w:val="en-US" w:eastAsia="zh-CN"/>
        </w:rPr>
        <w:t>9.99万</w:t>
      </w:r>
      <w:r>
        <w:rPr>
          <w:spacing w:val="1"/>
        </w:rPr>
        <w:t>元，比上年增加</w:t>
      </w:r>
      <w:r>
        <w:rPr>
          <w:spacing w:val="-42"/>
        </w:rPr>
        <w:t xml:space="preserve"> </w:t>
      </w:r>
      <w:r>
        <w:rPr>
          <w:rFonts w:hint="eastAsia"/>
          <w:spacing w:val="1"/>
          <w:lang w:val="en-US" w:eastAsia="zh-CN"/>
        </w:rPr>
        <w:t>0.2</w:t>
      </w:r>
      <w:r>
        <w:t xml:space="preserve">万元， </w:t>
      </w:r>
      <w:r>
        <w:rPr>
          <w:spacing w:val="7"/>
        </w:rPr>
        <w:t>和上年基本持平。主要用于伙食补助费、办公费、邮电费、差旅费</w:t>
      </w:r>
      <w:r>
        <w:rPr>
          <w:spacing w:val="6"/>
        </w:rPr>
        <w:t>、培训费、公务接待费、工会经费</w:t>
      </w:r>
      <w:r>
        <w:t xml:space="preserve"> </w:t>
      </w:r>
      <w:r>
        <w:rPr>
          <w:spacing w:val="4"/>
        </w:rPr>
        <w:t>和福利费等。</w:t>
      </w:r>
    </w:p>
    <w:p>
      <w:pPr>
        <w:spacing w:line="330" w:lineRule="auto"/>
        <w:sectPr>
          <w:pgSz w:w="16839" w:h="11905"/>
          <w:pgMar w:top="1012" w:right="1338" w:bottom="0" w:left="1457" w:header="0" w:footer="0" w:gutter="0"/>
          <w:cols w:space="720" w:num="1"/>
        </w:sectPr>
      </w:pPr>
    </w:p>
    <w:p>
      <w:pPr>
        <w:spacing w:line="423" w:lineRule="auto"/>
        <w:rPr>
          <w:rFonts w:ascii="方正楷体_GBK"/>
          <w:sz w:val="21"/>
        </w:rPr>
      </w:pPr>
    </w:p>
    <w:p>
      <w:pPr>
        <w:pStyle w:val="2"/>
        <w:spacing w:before="112" w:line="234" w:lineRule="auto"/>
        <w:ind w:left="617"/>
      </w:pPr>
      <w:r>
        <w:rPr>
          <w:rFonts w:ascii="方正楷体_GBK" w:hAnsi="方正楷体_GBK" w:eastAsia="方正楷体_GBK" w:cs="方正楷体_GBK"/>
          <w:spacing w:val="9"/>
        </w:rPr>
        <w:t>（二）政府采购情况</w:t>
      </w:r>
      <w:r>
        <w:rPr>
          <w:rFonts w:ascii="方正楷体_GBK" w:hAnsi="方正楷体_GBK" w:eastAsia="方正楷体_GBK" w:cs="方正楷体_GBK"/>
          <w:spacing w:val="-49"/>
        </w:rPr>
        <w:t xml:space="preserve"> </w:t>
      </w:r>
      <w:r>
        <w:rPr>
          <w:spacing w:val="9"/>
        </w:rPr>
        <w:t>。无</w:t>
      </w:r>
    </w:p>
    <w:p>
      <w:pPr>
        <w:pStyle w:val="2"/>
        <w:spacing w:before="95" w:line="237" w:lineRule="auto"/>
        <w:ind w:left="617"/>
      </w:pPr>
      <w:r>
        <w:rPr>
          <w:rFonts w:ascii="方正楷体_GBK" w:hAnsi="方正楷体_GBK" w:eastAsia="方正楷体_GBK" w:cs="方正楷体_GBK"/>
          <w:spacing w:val="7"/>
        </w:rPr>
        <w:t>（</w:t>
      </w:r>
      <w:r>
        <w:rPr>
          <w:rFonts w:ascii="方正楷体_GBK" w:hAnsi="方正楷体_GBK" w:eastAsia="方正楷体_GBK" w:cs="方正楷体_GBK"/>
          <w:spacing w:val="-48"/>
        </w:rPr>
        <w:t xml:space="preserve"> </w:t>
      </w:r>
      <w:r>
        <w:rPr>
          <w:rFonts w:ascii="方正楷体_GBK" w:hAnsi="方正楷体_GBK" w:eastAsia="方正楷体_GBK" w:cs="方正楷体_GBK"/>
          <w:spacing w:val="7"/>
        </w:rPr>
        <w:t>三）绩效目标设置情况</w:t>
      </w:r>
      <w:r>
        <w:rPr>
          <w:rFonts w:ascii="方正楷体_GBK" w:hAnsi="方正楷体_GBK" w:eastAsia="方正楷体_GBK" w:cs="方正楷体_GBK"/>
          <w:spacing w:val="-49"/>
        </w:rPr>
        <w:t xml:space="preserve"> </w:t>
      </w:r>
      <w:r>
        <w:rPr>
          <w:spacing w:val="7"/>
        </w:rPr>
        <w:t>。无项目支出，未设置绩效</w:t>
      </w:r>
      <w:r>
        <w:rPr>
          <w:spacing w:val="6"/>
        </w:rPr>
        <w:t>目标。</w:t>
      </w:r>
    </w:p>
    <w:p>
      <w:pPr>
        <w:pStyle w:val="2"/>
        <w:spacing w:before="222" w:line="234" w:lineRule="auto"/>
        <w:ind w:left="617"/>
      </w:pPr>
      <w:r>
        <w:rPr>
          <w:rFonts w:ascii="方正楷体_GBK" w:hAnsi="方正楷体_GBK" w:eastAsia="方正楷体_GBK" w:cs="方正楷体_GBK"/>
          <w:spacing w:val="2"/>
        </w:rPr>
        <w:t>（</w:t>
      </w:r>
      <w:r>
        <w:rPr>
          <w:rFonts w:ascii="方正楷体_GBK" w:hAnsi="方正楷体_GBK" w:eastAsia="方正楷体_GBK" w:cs="方正楷体_GBK"/>
          <w:spacing w:val="-32"/>
        </w:rPr>
        <w:t xml:space="preserve"> </w:t>
      </w:r>
      <w:r>
        <w:rPr>
          <w:rFonts w:ascii="方正楷体_GBK" w:hAnsi="方正楷体_GBK" w:eastAsia="方正楷体_GBK" w:cs="方正楷体_GBK"/>
          <w:spacing w:val="2"/>
        </w:rPr>
        <w:t>四）</w:t>
      </w:r>
      <w:r>
        <w:rPr>
          <w:rFonts w:ascii="方正楷体_GBK" w:hAnsi="方正楷体_GBK" w:eastAsia="方正楷体_GBK" w:cs="方正楷体_GBK"/>
          <w:spacing w:val="-33"/>
        </w:rPr>
        <w:t xml:space="preserve"> </w:t>
      </w:r>
      <w:r>
        <w:rPr>
          <w:rFonts w:ascii="方正楷体_GBK" w:hAnsi="方正楷体_GBK" w:eastAsia="方正楷体_GBK" w:cs="方正楷体_GBK"/>
          <w:spacing w:val="2"/>
        </w:rPr>
        <w:t>国有资产占有使用情况</w:t>
      </w:r>
      <w:r>
        <w:rPr>
          <w:rFonts w:ascii="方正楷体_GBK" w:hAnsi="方正楷体_GBK" w:eastAsia="方正楷体_GBK" w:cs="方正楷体_GBK"/>
          <w:spacing w:val="-48"/>
        </w:rPr>
        <w:t xml:space="preserve"> </w:t>
      </w:r>
      <w:r>
        <w:rPr>
          <w:spacing w:val="2"/>
        </w:rPr>
        <w:t>。无</w:t>
      </w:r>
    </w:p>
    <w:p>
      <w:pPr>
        <w:pStyle w:val="2"/>
        <w:spacing w:before="94" w:line="232" w:lineRule="auto"/>
        <w:ind w:left="617"/>
      </w:pPr>
      <w:r>
        <w:rPr>
          <w:rFonts w:ascii="方正楷体_GBK" w:hAnsi="方正楷体_GBK" w:eastAsia="方正楷体_GBK" w:cs="方正楷体_GBK"/>
          <w:spacing w:val="9"/>
        </w:rPr>
        <w:t>（五）无其他重要事项说明</w:t>
      </w:r>
      <w:r>
        <w:rPr>
          <w:spacing w:val="9"/>
        </w:rPr>
        <w:t>。</w:t>
      </w:r>
    </w:p>
    <w:p>
      <w:pPr>
        <w:spacing w:before="220" w:line="236" w:lineRule="auto"/>
        <w:ind w:left="645"/>
        <w:outlineLvl w:val="1"/>
        <w:rPr>
          <w:rFonts w:ascii="方正黑体_GBK" w:hAnsi="方正黑体_GBK" w:eastAsia="方正黑体_GBK" w:cs="方正黑体_GBK"/>
          <w:sz w:val="31"/>
          <w:szCs w:val="31"/>
        </w:rPr>
      </w:pPr>
      <w:r>
        <w:rPr>
          <w:rFonts w:ascii="方正黑体_GBK" w:hAnsi="方正黑体_GBK" w:eastAsia="方正黑体_GBK" w:cs="方正黑体_GBK"/>
          <w:spacing w:val="4"/>
          <w:sz w:val="31"/>
          <w:szCs w:val="31"/>
        </w:rPr>
        <w:t>六、</w:t>
      </w:r>
      <w:r>
        <w:rPr>
          <w:rFonts w:ascii="方正黑体_GBK" w:hAnsi="方正黑体_GBK" w:eastAsia="方正黑体_GBK" w:cs="方正黑体_GBK"/>
          <w:spacing w:val="-60"/>
          <w:sz w:val="31"/>
          <w:szCs w:val="31"/>
        </w:rPr>
        <w:t xml:space="preserve"> </w:t>
      </w:r>
      <w:r>
        <w:rPr>
          <w:rFonts w:ascii="方正黑体_GBK" w:hAnsi="方正黑体_GBK" w:eastAsia="方正黑体_GBK" w:cs="方正黑体_GBK"/>
          <w:spacing w:val="4"/>
          <w:sz w:val="31"/>
          <w:szCs w:val="31"/>
        </w:rPr>
        <w:t>专业名词解释</w:t>
      </w:r>
    </w:p>
    <w:p>
      <w:pPr>
        <w:pStyle w:val="2"/>
        <w:spacing w:before="127" w:line="270" w:lineRule="auto"/>
        <w:ind w:left="5" w:right="120" w:firstLine="612"/>
      </w:pPr>
      <w:r>
        <w:rPr>
          <w:rFonts w:ascii="方正楷体_GBK" w:hAnsi="方正楷体_GBK" w:eastAsia="方正楷体_GBK" w:cs="方正楷体_GBK"/>
          <w:spacing w:val="7"/>
        </w:rPr>
        <w:t>（一）财政拨款收入：</w:t>
      </w:r>
      <w:r>
        <w:rPr>
          <w:spacing w:val="7"/>
        </w:rPr>
        <w:t>指本年度从本级财政部门取得的财政拨款，包括一般公共预算财政拨款和</w:t>
      </w:r>
      <w:r>
        <w:rPr>
          <w:spacing w:val="9"/>
        </w:rPr>
        <w:t xml:space="preserve"> </w:t>
      </w:r>
      <w:r>
        <w:rPr>
          <w:spacing w:val="7"/>
        </w:rPr>
        <w:t>政府性基金预算财政拨款。</w:t>
      </w:r>
    </w:p>
    <w:p>
      <w:pPr>
        <w:pStyle w:val="2"/>
        <w:spacing w:before="123" w:line="279" w:lineRule="auto"/>
        <w:ind w:left="6" w:right="120" w:firstLine="611"/>
      </w:pPr>
      <w:r>
        <w:rPr>
          <w:rFonts w:ascii="方正楷体_GBK" w:hAnsi="方正楷体_GBK" w:eastAsia="方正楷体_GBK" w:cs="方正楷体_GBK"/>
          <w:spacing w:val="5"/>
        </w:rPr>
        <w:t>（二）基本支出：</w:t>
      </w:r>
      <w:r>
        <w:rPr>
          <w:spacing w:val="5"/>
        </w:rPr>
        <w:t>指为保障机构正常运转、完成</w:t>
      </w:r>
      <w:r>
        <w:rPr>
          <w:spacing w:val="-46"/>
        </w:rPr>
        <w:t xml:space="preserve"> </w:t>
      </w:r>
      <w:r>
        <w:rPr>
          <w:spacing w:val="5"/>
        </w:rPr>
        <w:t>日常工作任务而发生的人员经费和公用经费。其</w:t>
      </w:r>
      <w:r>
        <w:t xml:space="preserve"> </w:t>
      </w:r>
      <w:r>
        <w:rPr>
          <w:spacing w:val="3"/>
        </w:rPr>
        <w:t>中：人员经费指政府收支分类经济科</w:t>
      </w:r>
      <w:r>
        <w:rPr>
          <w:spacing w:val="-41"/>
        </w:rPr>
        <w:t xml:space="preserve"> </w:t>
      </w:r>
      <w:r>
        <w:rPr>
          <w:spacing w:val="3"/>
        </w:rPr>
        <w:t>目</w:t>
      </w:r>
      <w:r>
        <w:rPr>
          <w:spacing w:val="-75"/>
        </w:rPr>
        <w:t xml:space="preserve"> </w:t>
      </w:r>
      <w:r>
        <w:rPr>
          <w:spacing w:val="3"/>
        </w:rPr>
        <w:t>中的“工资福利支出”和“对个人和家庭的补助”；公用经费</w:t>
      </w:r>
      <w:r>
        <w:t xml:space="preserve"> </w:t>
      </w:r>
      <w:r>
        <w:rPr>
          <w:spacing w:val="6"/>
        </w:rPr>
        <w:t>指政府收支分类经济科</w:t>
      </w:r>
      <w:r>
        <w:rPr>
          <w:spacing w:val="-56"/>
        </w:rPr>
        <w:t xml:space="preserve"> </w:t>
      </w:r>
      <w:r>
        <w:rPr>
          <w:spacing w:val="6"/>
        </w:rPr>
        <w:t>目</w:t>
      </w:r>
      <w:r>
        <w:rPr>
          <w:spacing w:val="-75"/>
        </w:rPr>
        <w:t xml:space="preserve"> </w:t>
      </w:r>
      <w:r>
        <w:rPr>
          <w:spacing w:val="6"/>
        </w:rPr>
        <w:t>中除“工资福利支出”</w:t>
      </w:r>
      <w:r>
        <w:rPr>
          <w:spacing w:val="5"/>
        </w:rPr>
        <w:t>和“对个人和家庭的补助”外的其他支出。</w:t>
      </w:r>
    </w:p>
    <w:p>
      <w:pPr>
        <w:pStyle w:val="2"/>
        <w:spacing w:before="129" w:line="289" w:lineRule="auto"/>
        <w:ind w:firstLine="617"/>
      </w:pPr>
      <w:r>
        <w:rPr>
          <w:rFonts w:ascii="方正楷体_GBK" w:hAnsi="方正楷体_GBK" w:eastAsia="方正楷体_GBK" w:cs="方正楷体_GBK"/>
          <w:spacing w:val="6"/>
        </w:rPr>
        <w:t>（</w:t>
      </w:r>
      <w:r>
        <w:rPr>
          <w:rFonts w:ascii="方正楷体_GBK" w:hAnsi="方正楷体_GBK" w:eastAsia="方正楷体_GBK" w:cs="方正楷体_GBK"/>
          <w:spacing w:val="-47"/>
        </w:rPr>
        <w:t xml:space="preserve"> </w:t>
      </w:r>
      <w:r>
        <w:rPr>
          <w:rFonts w:ascii="方正楷体_GBK" w:hAnsi="方正楷体_GBK" w:eastAsia="方正楷体_GBK" w:cs="方正楷体_GBK"/>
          <w:spacing w:val="6"/>
        </w:rPr>
        <w:t>三）“三公”</w:t>
      </w:r>
      <w:r>
        <w:rPr>
          <w:rFonts w:ascii="方正楷体_GBK" w:hAnsi="方正楷体_GBK" w:eastAsia="方正楷体_GBK" w:cs="方正楷体_GBK"/>
          <w:spacing w:val="-55"/>
        </w:rPr>
        <w:t xml:space="preserve"> </w:t>
      </w:r>
      <w:r>
        <w:rPr>
          <w:rFonts w:ascii="方正楷体_GBK" w:hAnsi="方正楷体_GBK" w:eastAsia="方正楷体_GBK" w:cs="方正楷体_GBK"/>
          <w:spacing w:val="6"/>
        </w:rPr>
        <w:t>经费</w:t>
      </w:r>
      <w:r>
        <w:rPr>
          <w:spacing w:val="6"/>
        </w:rPr>
        <w:t>：指用一般公共预算财政拨款</w:t>
      </w:r>
      <w:r>
        <w:rPr>
          <w:spacing w:val="5"/>
        </w:rPr>
        <w:t>安排的因公出国（境）费、公务用车购置及运</w:t>
      </w:r>
      <w:r>
        <w:t xml:space="preserve">  </w:t>
      </w:r>
      <w:r>
        <w:rPr>
          <w:spacing w:val="7"/>
        </w:rPr>
        <w:t>行维护费、公务接待费。其中，因公出国（境）费反映单位公务出国（境）的国际旅</w:t>
      </w:r>
      <w:r>
        <w:rPr>
          <w:spacing w:val="6"/>
        </w:rPr>
        <w:t>费、国外城市间</w:t>
      </w:r>
      <w:r>
        <w:t xml:space="preserve">  </w:t>
      </w:r>
      <w:r>
        <w:rPr>
          <w:spacing w:val="7"/>
        </w:rPr>
        <w:t>交通费、住宿费、伙食费、培训费、公杂费等支出；公务用车购置费反映单位公务用</w:t>
      </w:r>
      <w:r>
        <w:rPr>
          <w:spacing w:val="6"/>
        </w:rPr>
        <w:t>车购置支出（含</w:t>
      </w:r>
      <w:r>
        <w:t xml:space="preserve">  </w:t>
      </w:r>
      <w:r>
        <w:rPr>
          <w:spacing w:val="11"/>
        </w:rPr>
        <w:t>车辆购置税</w:t>
      </w:r>
      <w:r>
        <w:rPr>
          <w:spacing w:val="-60"/>
        </w:rPr>
        <w:t>）；</w:t>
      </w:r>
      <w:r>
        <w:rPr>
          <w:spacing w:val="11"/>
        </w:rPr>
        <w:t>公务用车运行维护费反映单位按规定保留的公</w:t>
      </w:r>
      <w:r>
        <w:rPr>
          <w:spacing w:val="10"/>
        </w:rPr>
        <w:t>务用车燃料费、维修费、过路过桥费、</w:t>
      </w:r>
      <w:r>
        <w:rPr>
          <w:spacing w:val="1"/>
        </w:rPr>
        <w:t xml:space="preserve"> </w:t>
      </w:r>
      <w:r>
        <w:rPr>
          <w:spacing w:val="3"/>
        </w:rPr>
        <w:t>保险费、安全奖励费用等支出；公务接待费反映</w:t>
      </w:r>
      <w:r>
        <w:rPr>
          <w:spacing w:val="2"/>
        </w:rPr>
        <w:t>单位按规定开支的各类公务接待（含外宾接待）支出。</w:t>
      </w:r>
    </w:p>
    <w:p>
      <w:pPr>
        <w:spacing w:line="289" w:lineRule="auto"/>
        <w:sectPr>
          <w:pgSz w:w="16839" w:h="11905"/>
          <w:pgMar w:top="1012" w:right="1321" w:bottom="0" w:left="1453" w:header="0" w:footer="0" w:gutter="0"/>
          <w:cols w:space="720" w:num="1"/>
        </w:sectPr>
      </w:pPr>
    </w:p>
    <w:p>
      <w:pPr>
        <w:spacing w:line="398" w:lineRule="auto"/>
        <w:rPr>
          <w:rFonts w:ascii="方正楷体_GBK"/>
          <w:sz w:val="21"/>
        </w:rPr>
      </w:pPr>
    </w:p>
    <w:p>
      <w:pPr>
        <w:pStyle w:val="2"/>
        <w:spacing w:before="111" w:line="299" w:lineRule="auto"/>
        <w:ind w:firstLine="612"/>
        <w:jc w:val="both"/>
      </w:pPr>
      <w:r>
        <w:rPr>
          <w:rFonts w:ascii="方正楷体_GBK" w:hAnsi="方正楷体_GBK" w:eastAsia="方正楷体_GBK" w:cs="方正楷体_GBK"/>
          <w:spacing w:val="6"/>
        </w:rPr>
        <w:t>（</w:t>
      </w:r>
      <w:r>
        <w:rPr>
          <w:rFonts w:ascii="方正楷体_GBK" w:hAnsi="方正楷体_GBK" w:eastAsia="方正楷体_GBK" w:cs="方正楷体_GBK"/>
          <w:spacing w:val="-33"/>
        </w:rPr>
        <w:t xml:space="preserve"> </w:t>
      </w:r>
      <w:r>
        <w:rPr>
          <w:rFonts w:ascii="方正楷体_GBK" w:hAnsi="方正楷体_GBK" w:eastAsia="方正楷体_GBK" w:cs="方正楷体_GBK"/>
          <w:spacing w:val="6"/>
        </w:rPr>
        <w:t>四）机关运行经费：</w:t>
      </w:r>
      <w:r>
        <w:rPr>
          <w:spacing w:val="6"/>
        </w:rPr>
        <w:t>为保障行政单位（含参照公务员法管理的事业单位）运行用于购买货物和</w:t>
      </w:r>
      <w:r>
        <w:t xml:space="preserve"> </w:t>
      </w:r>
      <w:r>
        <w:rPr>
          <w:spacing w:val="5"/>
        </w:rPr>
        <w:t>服务等的各项公用经费，包括办公及印刷费、邮电费、差旅费、会议费、福利费、</w:t>
      </w:r>
      <w:r>
        <w:rPr>
          <w:spacing w:val="-60"/>
        </w:rPr>
        <w:t xml:space="preserve"> </w:t>
      </w:r>
      <w:r>
        <w:rPr>
          <w:spacing w:val="5"/>
        </w:rPr>
        <w:t>日常维护</w:t>
      </w:r>
      <w:r>
        <w:rPr>
          <w:spacing w:val="4"/>
        </w:rPr>
        <w:t>费、专用</w:t>
      </w:r>
      <w:r>
        <w:t xml:space="preserve"> </w:t>
      </w:r>
      <w:r>
        <w:rPr>
          <w:spacing w:val="7"/>
        </w:rPr>
        <w:t>材料及一般设备购置费、办公用房水电费、办公用房取暖费、办公用房</w:t>
      </w:r>
      <w:r>
        <w:rPr>
          <w:spacing w:val="6"/>
        </w:rPr>
        <w:t>物业管理费、公务用车运行维</w:t>
      </w:r>
      <w:r>
        <w:t xml:space="preserve"> </w:t>
      </w:r>
      <w:r>
        <w:rPr>
          <w:spacing w:val="6"/>
        </w:rPr>
        <w:t>护费以及其他费用。</w:t>
      </w:r>
    </w:p>
    <w:p>
      <w:pPr>
        <w:spacing w:line="279" w:lineRule="auto"/>
        <w:rPr>
          <w:rFonts w:ascii="方正楷体_GBK"/>
          <w:sz w:val="21"/>
        </w:rPr>
      </w:pPr>
    </w:p>
    <w:p>
      <w:pPr>
        <w:spacing w:line="279" w:lineRule="auto"/>
        <w:rPr>
          <w:rFonts w:ascii="方正楷体_GBK"/>
          <w:sz w:val="21"/>
        </w:rPr>
      </w:pPr>
    </w:p>
    <w:p>
      <w:pPr>
        <w:spacing w:line="280" w:lineRule="auto"/>
        <w:rPr>
          <w:rFonts w:ascii="方正楷体_GBK"/>
          <w:sz w:val="21"/>
        </w:rPr>
      </w:pPr>
    </w:p>
    <w:p>
      <w:pPr>
        <w:pStyle w:val="2"/>
        <w:spacing w:before="94" w:line="232" w:lineRule="auto"/>
        <w:ind w:left="617"/>
        <w:rPr>
          <w:rFonts w:ascii="方正楷体_GBK" w:hAnsi="方正楷体_GBK" w:eastAsia="方正楷体_GBK" w:cs="方正楷体_GBK"/>
          <w:spacing w:val="9"/>
        </w:rPr>
      </w:pPr>
      <w:r>
        <w:rPr>
          <w:rFonts w:ascii="方正楷体_GBK" w:hAnsi="方正楷体_GBK" w:eastAsia="方正楷体_GBK" w:cs="方正楷体_GBK"/>
          <w:spacing w:val="9"/>
        </w:rPr>
        <w:t>部门预算公开联系人：刘秋霜       联系方式：023-79233960</w:t>
      </w:r>
    </w:p>
    <w:sectPr>
      <w:pgSz w:w="16839" w:h="11905"/>
      <w:pgMar w:top="1012" w:right="1439" w:bottom="0" w:left="1458" w:header="0" w:footer="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FreeSerif">
    <w:altName w:val="宋体"/>
    <w:panose1 w:val="02020603050405020304"/>
    <w:charset w:val="86"/>
    <w:family w:val="auto"/>
    <w:pitch w:val="default"/>
    <w:sig w:usb0="00000000" w:usb1="00000000" w:usb2="43501B29" w:usb3="04000043" w:csb0="600101FF" w:csb1="FFFF0000"/>
  </w:font>
  <w:font w:name="方正仿宋_GBK">
    <w:panose1 w:val="03000509000000000000"/>
    <w:charset w:val="86"/>
    <w:family w:val="auto"/>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DejaVu Sans">
    <w:altName w:val="Segoe Print"/>
    <w:panose1 w:val="020B0603030804020204"/>
    <w:charset w:val="00"/>
    <w:family w:val="auto"/>
    <w:pitch w:val="default"/>
    <w:sig w:usb0="00000000" w:usb1="00000000" w:usb2="0A246029" w:usb3="0400200C" w:csb0="600001FF" w:csb1="DFFF0000"/>
  </w:font>
  <w:font w:name="Segoe Print">
    <w:panose1 w:val="02000600000000000000"/>
    <w:charset w:val="00"/>
    <w:family w:val="auto"/>
    <w:pitch w:val="default"/>
    <w:sig w:usb0="0000028F" w:usb1="00000000" w:usb2="00000000" w:usb3="00000000" w:csb0="2000009F" w:csb1="4701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docVars>
    <w:docVar w:name="commondata" w:val="eyJoZGlkIjoiNzA1ZWRkZjE4OGFiMDkxYzE0MDE2YWFjMTFlYTAxZjMifQ=="/>
  </w:docVars>
  <w:rsids>
    <w:rsidRoot w:val="00000000"/>
    <w:rsid w:val="37F5825E"/>
    <w:rsid w:val="4EFF30C1"/>
    <w:rsid w:val="54991E7D"/>
    <w:rsid w:val="6EDE4A4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FreeSerif" w:hAnsi="FreeSerif" w:eastAsia="FreeSerif" w:cs="FreeSerif"/>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FreeSerif" w:hAnsi="FreeSerif" w:eastAsia="FreeSerif" w:cs="FreeSerif"/>
      <w:snapToGrid w:val="0"/>
      <w:color w:val="000000"/>
      <w:kern w:val="0"/>
      <w:sz w:val="21"/>
      <w:szCs w:val="21"/>
      <w:lang w:val="en-US" w:eastAsia="en-US"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方正仿宋_GBK" w:hAnsi="方正仿宋_GBK" w:eastAsia="方正仿宋_GBK" w:cs="方正仿宋_GBK"/>
      <w:sz w:val="31"/>
      <w:szCs w:val="31"/>
      <w:lang w:val="en-US" w:eastAsia="en-US" w:bidi="ar-SA"/>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4</Pages>
  <TotalTime>15</TotalTime>
  <ScaleCrop>false</ScaleCrop>
  <LinksUpToDate>false</LinksUpToDate>
  <Application>WPS Office_12.1.0.16250_F1E327BC-269C-435d-A152-05C5408002CA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2025-03-17T18:47:00Z</dcterms:created>
  <dc:creator>Administrator</dc:creator>
  <cp:lastModifiedBy>A.小葵</cp:lastModifiedBy>
  <dcterms:modified xsi:type="dcterms:W3CDTF">2026-08-31T06:21:36Z</dcterms:modified>
  <dc:title>重庆市黔江区水利综合行政执法支队2022年部门预算情况说明</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wqlLaW5nc29mdCBQREYgdG8gV1BTIDEwMA</vt:lpwstr>
  </property>
  <property fmtid="{D5CDD505-2E9C-101B-9397-08002B2CF9AE}" pid="3" name="Created">
    <vt:filetime>2026-02-25T16:16:15Z</vt:filetime>
  </property>
  <property fmtid="{D5CDD505-2E9C-101B-9397-08002B2CF9AE}" pid="4" name="KSOProductBuildVer">
    <vt:lpwstr>2052-12.1.0.16250</vt:lpwstr>
  </property>
  <property fmtid="{D5CDD505-2E9C-101B-9397-08002B2CF9AE}" pid="5" name="ICV">
    <vt:lpwstr>6129263810891D83B7B29E690B42D719_42</vt:lpwstr>
  </property>
</Properties>
</file>