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wordWrap/>
        <w:overflowPunct/>
        <w:topLinePunct w:val="0"/>
        <w:autoSpaceDN/>
        <w:bidi w:val="0"/>
        <w:adjustRightInd/>
        <w:spacing w:before="0" w:beforeAutospacing="0" w:line="594"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重庆市黔江区大数据应用发展管理局（本级）</w:t>
      </w:r>
    </w:p>
    <w:p>
      <w:pPr>
        <w:pStyle w:val="5"/>
        <w:keepNext w:val="0"/>
        <w:keepLines w:val="0"/>
        <w:pageBreakBefore w:val="0"/>
        <w:widowControl/>
        <w:kinsoku/>
        <w:wordWrap/>
        <w:overflowPunct/>
        <w:topLinePunct w:val="0"/>
        <w:autoSpaceDN/>
        <w:bidi w:val="0"/>
        <w:adjustRightInd/>
        <w:spacing w:before="0" w:beforeAutospacing="0" w:line="594" w:lineRule="exact"/>
        <w:jc w:val="center"/>
        <w:textAlignment w:val="auto"/>
        <w:rPr>
          <w:rFonts w:hint="default" w:ascii="Times New Roman" w:hAnsi="Times New Roman" w:eastAsia="方正小标宋_GBK" w:cs="Times New Roman"/>
          <w:sz w:val="44"/>
          <w:szCs w:val="44"/>
          <w:shd w:val="clear" w:color="auto" w:fill="FFFFFF"/>
        </w:rPr>
      </w:pPr>
      <w:r>
        <w:rPr>
          <w:rFonts w:hint="default" w:ascii="Times New Roman" w:hAnsi="Times New Roman" w:eastAsia="方正小标宋_GBK" w:cs="Times New Roman"/>
          <w:sz w:val="44"/>
          <w:szCs w:val="44"/>
          <w:shd w:val="clear" w:color="auto" w:fill="FFFFFF"/>
          <w:lang w:eastAsia="zh-CN"/>
        </w:rPr>
        <w:t>2024年</w:t>
      </w:r>
      <w:r>
        <w:rPr>
          <w:rFonts w:hint="default" w:ascii="Times New Roman" w:hAnsi="Times New Roman" w:eastAsia="方正小标宋_GBK" w:cs="Times New Roman"/>
          <w:sz w:val="44"/>
          <w:szCs w:val="44"/>
          <w:shd w:val="clear" w:color="auto" w:fill="FFFFFF"/>
        </w:rPr>
        <w:t>度决算</w:t>
      </w:r>
      <w:r>
        <w:rPr>
          <w:rFonts w:hint="default" w:ascii="Times New Roman" w:hAnsi="Times New Roman" w:eastAsia="方正小标宋_GBK" w:cs="Times New Roman"/>
          <w:sz w:val="44"/>
          <w:szCs w:val="44"/>
          <w:shd w:val="clear" w:color="auto" w:fill="FFFFFF"/>
          <w:lang w:eastAsia="zh-CN"/>
        </w:rPr>
        <w:t>公开</w:t>
      </w:r>
      <w:r>
        <w:rPr>
          <w:rFonts w:hint="default" w:ascii="Times New Roman" w:hAnsi="Times New Roman" w:eastAsia="方正小标宋_GBK" w:cs="Times New Roman"/>
          <w:sz w:val="44"/>
          <w:szCs w:val="44"/>
          <w:shd w:val="clear" w:color="auto" w:fill="FFFFFF"/>
        </w:rPr>
        <w:t>说明</w:t>
      </w:r>
      <w:bookmarkStart w:id="0" w:name="_GoBack"/>
      <w:bookmarkEnd w:id="0"/>
    </w:p>
    <w:p>
      <w:pPr>
        <w:pStyle w:val="5"/>
        <w:keepNext w:val="0"/>
        <w:keepLines w:val="0"/>
        <w:pageBreakBefore w:val="0"/>
        <w:widowControl/>
        <w:numPr>
          <w:ilvl w:val="0"/>
          <w:numId w:val="0"/>
        </w:numPr>
        <w:shd w:val="clear" w:color="auto" w:fill="FFFFFF"/>
        <w:kinsoku/>
        <w:wordWrap/>
        <w:overflowPunct/>
        <w:topLinePunct w:val="0"/>
        <w:autoSpaceDN/>
        <w:bidi w:val="0"/>
        <w:adjustRightInd/>
        <w:spacing w:beforeAutospacing="0" w:line="594" w:lineRule="exact"/>
        <w:ind w:firstLine="640" w:firstLineChars="200"/>
        <w:textAlignment w:val="auto"/>
        <w:rPr>
          <w:rStyle w:val="9"/>
          <w:rFonts w:hint="default" w:ascii="Times New Roman" w:hAnsi="Times New Roman" w:eastAsia="方正黑体_GBK" w:cs="Times New Roman"/>
          <w:b w:val="0"/>
          <w:bCs/>
          <w:sz w:val="32"/>
          <w:szCs w:val="32"/>
          <w:shd w:val="clear" w:color="auto" w:fill="FFFFFF"/>
        </w:rPr>
      </w:pPr>
      <w:r>
        <w:rPr>
          <w:rFonts w:hint="default" w:ascii="Times New Roman" w:hAnsi="Times New Roman" w:eastAsia="方正黑体_GBK" w:cs="Times New Roman"/>
          <w:b w:val="0"/>
          <w:bCs/>
          <w:sz w:val="32"/>
          <w:szCs w:val="32"/>
          <w:shd w:val="clear" w:fill="FFFFFF"/>
          <w:lang w:val="en-US" w:eastAsia="zh-CN" w:bidi="ar-SA"/>
        </w:rPr>
        <w:t>一、</w:t>
      </w:r>
      <w:r>
        <w:rPr>
          <w:rStyle w:val="9"/>
          <w:rFonts w:hint="default" w:ascii="Times New Roman" w:hAnsi="Times New Roman" w:eastAsia="方正黑体_GBK" w:cs="Times New Roman"/>
          <w:b w:val="0"/>
          <w:bCs/>
          <w:sz w:val="32"/>
          <w:szCs w:val="32"/>
          <w:shd w:val="clear" w:color="auto" w:fill="FFFFFF"/>
        </w:rPr>
        <w:t>部门基本情况</w:t>
      </w:r>
    </w:p>
    <w:p>
      <w:pPr>
        <w:pStyle w:val="5"/>
        <w:keepNext w:val="0"/>
        <w:keepLines w:val="0"/>
        <w:pageBreakBefore w:val="0"/>
        <w:widowControl/>
        <w:numPr>
          <w:ilvl w:val="0"/>
          <w:numId w:val="1"/>
        </w:numPr>
        <w:shd w:val="clear" w:color="auto" w:fill="FFFFFF"/>
        <w:kinsoku/>
        <w:wordWrap/>
        <w:overflowPunct/>
        <w:topLinePunct w:val="0"/>
        <w:autoSpaceDN/>
        <w:bidi w:val="0"/>
        <w:adjustRightInd/>
        <w:spacing w:beforeAutospacing="0" w:line="594" w:lineRule="exact"/>
        <w:ind w:firstLine="640" w:firstLineChars="200"/>
        <w:textAlignment w:val="auto"/>
        <w:rPr>
          <w:rStyle w:val="9"/>
          <w:rFonts w:hint="default" w:ascii="Times New Roman" w:hAnsi="Times New Roman" w:eastAsia="方正楷体_GBK" w:cs="Times New Roman"/>
          <w:b w:val="0"/>
          <w:bCs/>
          <w:sz w:val="32"/>
          <w:szCs w:val="32"/>
          <w:shd w:val="clear" w:color="auto" w:fill="FFFFFF"/>
        </w:rPr>
      </w:pPr>
      <w:r>
        <w:rPr>
          <w:rStyle w:val="9"/>
          <w:rFonts w:hint="default" w:ascii="Times New Roman" w:hAnsi="Times New Roman" w:eastAsia="方正楷体_GBK" w:cs="Times New Roman"/>
          <w:b w:val="0"/>
          <w:bCs/>
          <w:sz w:val="32"/>
          <w:szCs w:val="32"/>
          <w:shd w:val="clear" w:color="auto" w:fill="FFFFFF"/>
        </w:rPr>
        <w:t>职能职责</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一是</w:t>
      </w:r>
      <w:r>
        <w:rPr>
          <w:rFonts w:hint="default" w:ascii="Times New Roman" w:hAnsi="Times New Roman" w:eastAsia="方正仿宋_GBK" w:cs="Times New Roman"/>
          <w:sz w:val="32"/>
          <w:szCs w:val="32"/>
          <w:highlight w:val="none"/>
        </w:rPr>
        <w:t>研究拟订全区大数据、人工智能、信息化发展战略编制全区大数据、人工智能、信息化发展规划和年度计划，拟订相关政策措施和评价体系并组织实施。</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二是</w:t>
      </w:r>
      <w:r>
        <w:rPr>
          <w:rFonts w:hint="default" w:ascii="Times New Roman" w:hAnsi="Times New Roman" w:eastAsia="方正仿宋_GBK" w:cs="Times New Roman"/>
          <w:sz w:val="32"/>
          <w:szCs w:val="32"/>
          <w:highlight w:val="none"/>
        </w:rPr>
        <w:t>负责数据资源建设、管理，促进大数据政用、民用、商用。负责推进全区政府数据采集汇聚、登记管理、共享开放。负责推动社会数据汇聚融合、互联互通、资源共享。负责研究推进数据资源的流通交易。负责推进社会公共信息资源整合和应用。</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三是</w:t>
      </w:r>
      <w:r>
        <w:rPr>
          <w:rFonts w:hint="default" w:ascii="Times New Roman" w:hAnsi="Times New Roman" w:eastAsia="方正仿宋_GBK" w:cs="Times New Roman"/>
          <w:sz w:val="32"/>
          <w:szCs w:val="32"/>
          <w:highlight w:val="none"/>
        </w:rPr>
        <w:t>负责全区大数据应用发展管理。统筹推进大数据、人工智能等新一代信息技术和国民经济各领域融合应用。推动大数据、人工智能等产学研用结合，推动大数据、人工智能等新兴领域发展。</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四是</w:t>
      </w:r>
      <w:r>
        <w:rPr>
          <w:rFonts w:hint="default" w:ascii="Times New Roman" w:hAnsi="Times New Roman" w:eastAsia="方正仿宋_GBK" w:cs="Times New Roman"/>
          <w:sz w:val="32"/>
          <w:szCs w:val="32"/>
          <w:highlight w:val="none"/>
        </w:rPr>
        <w:t>负责推进全区信息化应用工作。统筹推进全区智慧城市建设。负责组织协调跨部门、跨行业、跨领域的信息化应用，协调解决信息化建设中的重大问题。</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五是</w:t>
      </w:r>
      <w:r>
        <w:rPr>
          <w:rFonts w:hint="default" w:ascii="Times New Roman" w:hAnsi="Times New Roman" w:eastAsia="方正仿宋_GBK" w:cs="Times New Roman"/>
          <w:sz w:val="32"/>
          <w:szCs w:val="32"/>
          <w:highlight w:val="none"/>
        </w:rPr>
        <w:t>负责协调全区信息基础设施建设。协调推动下一代网络部署和规模化商用。</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六是</w:t>
      </w:r>
      <w:r>
        <w:rPr>
          <w:rFonts w:hint="default" w:ascii="Times New Roman" w:hAnsi="Times New Roman" w:eastAsia="方正仿宋_GBK" w:cs="Times New Roman"/>
          <w:sz w:val="32"/>
          <w:szCs w:val="32"/>
          <w:highlight w:val="none"/>
        </w:rPr>
        <w:t>负责推动大数据、人工智能、信息化领域对外交流合作。参与国际国内重大交流合作活动，指导开展区域化合作，承办相关活动。指导大数据、人工智能、信息化人才队伍建设工作。指导相关行业协会、学会、联盟机构工作。</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七是</w:t>
      </w:r>
      <w:r>
        <w:rPr>
          <w:rFonts w:hint="default" w:ascii="Times New Roman" w:hAnsi="Times New Roman" w:eastAsia="方正仿宋_GBK" w:cs="Times New Roman"/>
          <w:sz w:val="32"/>
          <w:szCs w:val="32"/>
          <w:highlight w:val="none"/>
        </w:rPr>
        <w:t xml:space="preserve">负责协调推进数据基础制度建设，统筹数据资源整合共享和开发利用，推进数字重庆、数字社会规划和建设等。       </w:t>
      </w:r>
    </w:p>
    <w:p>
      <w:pPr>
        <w:keepNext w:val="0"/>
        <w:keepLines w:val="0"/>
        <w:pageBreakBefore w:val="0"/>
        <w:widowControl/>
        <w:kinsoku/>
        <w:wordWrap/>
        <w:overflowPunct/>
        <w:topLinePunct w:val="0"/>
        <w:autoSpaceDN/>
        <w:bidi w:val="0"/>
        <w:adjustRightInd/>
        <w:snapToGrid w:val="0"/>
        <w:spacing w:beforeAutospacing="0" w:line="594"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八是</w:t>
      </w:r>
      <w:r>
        <w:rPr>
          <w:rFonts w:hint="default" w:ascii="Times New Roman" w:hAnsi="Times New Roman" w:eastAsia="方正仿宋_GBK" w:cs="Times New Roman"/>
          <w:sz w:val="32"/>
          <w:szCs w:val="32"/>
          <w:highlight w:val="none"/>
        </w:rPr>
        <w:t>完成区委、区政府交办的其他任务。</w:t>
      </w:r>
    </w:p>
    <w:p>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420"/>
        <w:textAlignment w:val="auto"/>
        <w:rPr>
          <w:rFonts w:hint="default" w:ascii="Times New Roman" w:hAnsi="Times New Roman" w:eastAsia="方正楷体_GBK" w:cs="Times New Roman"/>
          <w:b w:val="0"/>
          <w:bCs/>
          <w:sz w:val="32"/>
          <w:szCs w:val="32"/>
        </w:rPr>
      </w:pPr>
      <w:r>
        <w:rPr>
          <w:rStyle w:val="9"/>
          <w:rFonts w:hint="default" w:ascii="Times New Roman" w:hAnsi="Times New Roman" w:eastAsia="方正楷体_GBK" w:cs="Times New Roman"/>
          <w:b w:val="0"/>
          <w:bCs/>
          <w:sz w:val="32"/>
          <w:szCs w:val="32"/>
          <w:shd w:val="clear" w:color="auto" w:fill="FFFFFF"/>
        </w:rPr>
        <w:t>（二）机构设置</w:t>
      </w:r>
    </w:p>
    <w:p>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本年度新增下设正科级内设科室三个，包括办公室、数据管理科、应用推广科。</w:t>
      </w:r>
    </w:p>
    <w:p>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0" w:firstLineChars="200"/>
        <w:textAlignment w:val="auto"/>
        <w:rPr>
          <w:rStyle w:val="9"/>
          <w:rFonts w:hint="default" w:ascii="Times New Roman" w:hAnsi="Times New Roman" w:eastAsia="方正黑体_GBK" w:cs="Times New Roman"/>
          <w:b w:val="0"/>
          <w:bCs/>
          <w:sz w:val="32"/>
          <w:szCs w:val="32"/>
          <w:shd w:val="clear" w:color="auto" w:fill="FFFFFF"/>
        </w:rPr>
      </w:pPr>
      <w:r>
        <w:rPr>
          <w:rStyle w:val="9"/>
          <w:rFonts w:hint="default" w:ascii="Times New Roman" w:hAnsi="Times New Roman" w:eastAsia="方正黑体_GBK" w:cs="Times New Roman"/>
          <w:b w:val="0"/>
          <w:bCs/>
          <w:sz w:val="32"/>
          <w:szCs w:val="32"/>
          <w:shd w:val="clear" w:color="auto" w:fill="FFFFFF"/>
        </w:rPr>
        <w:t>二、部门决算情况说明</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（一）收入支出决算总体情况说明</w:t>
      </w:r>
    </w:p>
    <w:p>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3" w:firstLineChars="200"/>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1.总体情况。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度收入总计29.40万元，支出总计</w:t>
      </w:r>
      <w:r>
        <w:rPr>
          <w:rFonts w:hint="default" w:ascii="Times New Roman" w:hAnsi="Times New Roman" w:eastAsia="方正仿宋_GBK" w:cs="Times New Roman"/>
          <w:sz w:val="32"/>
          <w:szCs w:val="32"/>
        </w:rPr>
        <w:t>29.40</w:t>
      </w:r>
      <w:r>
        <w:rPr>
          <w:rFonts w:hint="default" w:ascii="Times New Roman" w:hAnsi="Times New Roman" w:eastAsia="方正仿宋_GBK" w:cs="Times New Roman"/>
          <w:sz w:val="32"/>
          <w:szCs w:val="32"/>
          <w:shd w:val="clear" w:color="auto" w:fill="FFFFFF"/>
        </w:rPr>
        <w:t>万元。收、支与2023年度相比，增加29.40万元，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同期数据</w:t>
      </w:r>
      <w:r>
        <w:rPr>
          <w:rFonts w:hint="default" w:ascii="Times New Roman" w:hAnsi="Times New Roman" w:eastAsia="方正仿宋_GBK" w:cs="Times New Roman"/>
          <w:sz w:val="32"/>
          <w:szCs w:val="32"/>
          <w:highlight w:val="none"/>
          <w:lang w:val="en-US" w:eastAsia="zh-CN"/>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shd w:val="clear" w:color="auto" w:fill="FFFFFF"/>
        </w:rPr>
      </w:pPr>
      <w:r>
        <w:rPr>
          <w:rStyle w:val="9"/>
          <w:rFonts w:hint="default" w:ascii="Times New Roman" w:hAnsi="Times New Roman" w:eastAsia="方正仿宋_GBK" w:cs="Times New Roman"/>
          <w:sz w:val="32"/>
          <w:szCs w:val="32"/>
          <w:shd w:val="clear" w:color="auto" w:fill="FFFFFF"/>
        </w:rPr>
        <w:t>2.收入情况。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度收入合计29.40万元，与2023年度相比，增加29.40万元，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同期数据</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shd w:val="clear" w:color="auto" w:fill="FFFFFF"/>
        </w:rPr>
        <w:t>其中：财政拨款收入</w:t>
      </w:r>
      <w:r>
        <w:rPr>
          <w:rFonts w:hint="default" w:ascii="Times New Roman" w:hAnsi="Times New Roman" w:eastAsia="方正仿宋_GBK" w:cs="Times New Roman"/>
          <w:sz w:val="32"/>
          <w:szCs w:val="32"/>
        </w:rPr>
        <w:t>29.40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100.00</w:t>
      </w:r>
      <w:r>
        <w:rPr>
          <w:rFonts w:hint="default" w:ascii="Times New Roman" w:hAnsi="Times New Roman" w:eastAsia="方正仿宋_GBK" w:cs="Times New Roman"/>
          <w:sz w:val="32"/>
          <w:szCs w:val="32"/>
          <w:shd w:val="clear" w:color="auto" w:fill="FFFFFF"/>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shd w:val="clear" w:color="auto" w:fill="FFFFFF"/>
        </w:rPr>
      </w:pPr>
      <w:r>
        <w:rPr>
          <w:rStyle w:val="9"/>
          <w:rFonts w:hint="default" w:ascii="Times New Roman" w:hAnsi="Times New Roman" w:eastAsia="方正仿宋_GBK" w:cs="Times New Roman"/>
          <w:sz w:val="32"/>
          <w:szCs w:val="32"/>
          <w:shd w:val="clear" w:color="auto" w:fill="FFFFFF"/>
        </w:rPr>
        <w:t>3.支出情况。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度支出合计</w:t>
      </w:r>
      <w:r>
        <w:rPr>
          <w:rFonts w:hint="default" w:ascii="Times New Roman" w:hAnsi="Times New Roman" w:eastAsia="方正仿宋_GBK" w:cs="Times New Roman"/>
          <w:sz w:val="32"/>
          <w:szCs w:val="32"/>
        </w:rPr>
        <w:t>29.40</w:t>
      </w:r>
      <w:r>
        <w:rPr>
          <w:rFonts w:hint="default" w:ascii="Times New Roman" w:hAnsi="Times New Roman" w:eastAsia="方正仿宋_GBK" w:cs="Times New Roman"/>
          <w:sz w:val="32"/>
          <w:szCs w:val="32"/>
          <w:shd w:val="clear" w:color="auto" w:fill="FFFFFF"/>
        </w:rPr>
        <w:t>万元，与2023年度相比，增加29.40万元，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w:t>
      </w:r>
      <w:r>
        <w:rPr>
          <w:rFonts w:hint="default" w:ascii="Times New Roman" w:hAnsi="Times New Roman" w:eastAsia="方正仿宋_GBK" w:cs="Times New Roman"/>
          <w:sz w:val="32"/>
          <w:szCs w:val="32"/>
          <w:highlight w:val="none"/>
          <w:lang w:val="en-US" w:eastAsia="zh-CN"/>
        </w:rPr>
        <w:t>数据。</w:t>
      </w:r>
      <w:r>
        <w:rPr>
          <w:rFonts w:hint="default" w:ascii="Times New Roman" w:hAnsi="Times New Roman" w:eastAsia="方正仿宋_GBK" w:cs="Times New Roman"/>
          <w:sz w:val="32"/>
          <w:szCs w:val="32"/>
          <w:shd w:val="clear" w:color="auto" w:fill="FFFFFF"/>
        </w:rPr>
        <w:t>其中：基本支出</w:t>
      </w:r>
      <w:r>
        <w:rPr>
          <w:rFonts w:hint="default" w:ascii="Times New Roman" w:hAnsi="Times New Roman" w:eastAsia="方正仿宋_GBK" w:cs="Times New Roman"/>
          <w:sz w:val="32"/>
          <w:szCs w:val="32"/>
        </w:rPr>
        <w:t>15.08</w:t>
      </w:r>
      <w:r>
        <w:rPr>
          <w:rFonts w:hint="default" w:ascii="Times New Roman" w:hAnsi="Times New Roman" w:eastAsia="方正仿宋_GBK" w:cs="Times New Roman"/>
          <w:sz w:val="32"/>
          <w:szCs w:val="32"/>
          <w:shd w:val="clear" w:color="auto" w:fill="FFFFFF"/>
        </w:rPr>
        <w:t>万元，占51.28%；项目支出</w:t>
      </w:r>
      <w:r>
        <w:rPr>
          <w:rFonts w:hint="default" w:ascii="Times New Roman" w:hAnsi="Times New Roman" w:eastAsia="方正仿宋_GBK" w:cs="Times New Roman"/>
          <w:sz w:val="32"/>
          <w:szCs w:val="32"/>
        </w:rPr>
        <w:t>14.32</w:t>
      </w:r>
      <w:r>
        <w:rPr>
          <w:rFonts w:hint="default" w:ascii="Times New Roman" w:hAnsi="Times New Roman" w:eastAsia="方正仿宋_GBK" w:cs="Times New Roman"/>
          <w:sz w:val="32"/>
          <w:szCs w:val="32"/>
          <w:shd w:val="clear" w:color="auto" w:fill="FFFFFF"/>
        </w:rPr>
        <w:t>万元，占48.72%；经营支出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万元，占0.00%。此外，结余分配</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shd w:val="clear" w:color="auto" w:fill="FFFFFF"/>
        </w:rPr>
      </w:pP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highlight w:val="none"/>
          <w:lang w:val="en-US" w:eastAsia="zh-CN"/>
        </w:rPr>
      </w:pPr>
      <w:r>
        <w:rPr>
          <w:rStyle w:val="9"/>
          <w:rFonts w:hint="default" w:ascii="Times New Roman" w:hAnsi="Times New Roman" w:eastAsia="方正仿宋_GBK" w:cs="Times New Roman"/>
          <w:sz w:val="32"/>
          <w:szCs w:val="32"/>
          <w:shd w:val="clear" w:color="auto" w:fill="FFFFFF"/>
        </w:rPr>
        <w:t>4.结转结余情况。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度年末结转和结余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万元，与2023年度相比，无增减，</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w:t>
      </w:r>
      <w:r>
        <w:rPr>
          <w:rFonts w:hint="default" w:ascii="Times New Roman" w:hAnsi="Times New Roman" w:eastAsia="方正仿宋_GBK" w:cs="Times New Roman"/>
          <w:sz w:val="32"/>
          <w:szCs w:val="32"/>
          <w:highlight w:val="none"/>
          <w:lang w:val="en-US" w:eastAsia="zh-CN"/>
        </w:rPr>
        <w:t>数据。</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（二）财政拨款收入支出决算总体情况说明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度财政拨款收、支总计29.40万元。与</w:t>
      </w:r>
      <w:r>
        <w:rPr>
          <w:rFonts w:hint="default" w:ascii="Times New Roman" w:hAnsi="Times New Roman" w:eastAsia="方正仿宋_GBK" w:cs="Times New Roman"/>
          <w:sz w:val="32"/>
          <w:szCs w:val="32"/>
          <w:shd w:val="clear" w:color="auto" w:fill="FFFFFF"/>
          <w:lang w:eastAsia="zh-CN"/>
        </w:rPr>
        <w:t>2023年</w:t>
      </w:r>
      <w:r>
        <w:rPr>
          <w:rFonts w:hint="default" w:ascii="Times New Roman" w:hAnsi="Times New Roman" w:eastAsia="方正仿宋_GBK" w:cs="Times New Roman"/>
          <w:sz w:val="32"/>
          <w:szCs w:val="32"/>
          <w:shd w:val="clear" w:color="auto" w:fill="FFFFFF"/>
        </w:rPr>
        <w:t>相比，财政拨款收、支总计各增加29.40万元。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w:t>
      </w:r>
      <w:r>
        <w:rPr>
          <w:rFonts w:hint="default" w:ascii="Times New Roman" w:hAnsi="Times New Roman" w:eastAsia="方正仿宋_GBK" w:cs="Times New Roman"/>
          <w:sz w:val="32"/>
          <w:szCs w:val="32"/>
          <w:highlight w:val="none"/>
          <w:lang w:val="en-US" w:eastAsia="zh-CN"/>
        </w:rPr>
        <w:t>数据。</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（三）一般公共预算财政拨款收入支出决算情况说明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度一般公共预算财政拨款收入</w:t>
      </w:r>
      <w:r>
        <w:rPr>
          <w:rFonts w:hint="default" w:ascii="Times New Roman" w:hAnsi="Times New Roman" w:eastAsia="方正仿宋_GBK" w:cs="Times New Roman"/>
          <w:sz w:val="32"/>
          <w:szCs w:val="32"/>
        </w:rPr>
        <w:t>29.40</w:t>
      </w:r>
      <w:r>
        <w:rPr>
          <w:rFonts w:hint="default" w:ascii="Times New Roman" w:hAnsi="Times New Roman" w:eastAsia="方正仿宋_GBK" w:cs="Times New Roman"/>
          <w:sz w:val="32"/>
          <w:szCs w:val="32"/>
          <w:shd w:val="clear" w:color="auto" w:fill="FFFFFF"/>
        </w:rPr>
        <w:t>万元，与2023年度相比，增加29.40万元。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w:t>
      </w:r>
      <w:r>
        <w:rPr>
          <w:rFonts w:hint="default" w:ascii="Times New Roman" w:hAnsi="Times New Roman" w:eastAsia="方正仿宋_GBK" w:cs="Times New Roman"/>
          <w:sz w:val="32"/>
          <w:szCs w:val="32"/>
          <w:highlight w:val="none"/>
          <w:lang w:val="en-US" w:eastAsia="zh-CN"/>
        </w:rPr>
        <w:t>数据。</w:t>
      </w:r>
      <w:r>
        <w:rPr>
          <w:rFonts w:hint="default" w:ascii="Times New Roman" w:hAnsi="Times New Roman" w:eastAsia="方正仿宋_GBK" w:cs="Times New Roman"/>
          <w:sz w:val="32"/>
          <w:szCs w:val="32"/>
          <w:shd w:val="clear" w:color="auto" w:fill="FFFFFF"/>
        </w:rPr>
        <w:t>较年初预算数增加29.40万元。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才挂牌成立，无年初数据。</w:t>
      </w:r>
      <w:r>
        <w:rPr>
          <w:rFonts w:hint="default" w:ascii="Times New Roman" w:hAnsi="Times New Roman" w:eastAsia="方正仿宋_GBK" w:cs="Times New Roman"/>
          <w:sz w:val="32"/>
          <w:szCs w:val="32"/>
          <w:shd w:val="clear" w:color="auto" w:fill="FFFFFF"/>
        </w:rPr>
        <w:t>此外，年初财政拨款结转和结余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度一般公共预算财政拨款支出</w:t>
      </w:r>
      <w:r>
        <w:rPr>
          <w:rFonts w:hint="default" w:ascii="Times New Roman" w:hAnsi="Times New Roman" w:eastAsia="方正仿宋_GBK" w:cs="Times New Roman"/>
          <w:sz w:val="32"/>
          <w:szCs w:val="32"/>
        </w:rPr>
        <w:t>29.40</w:t>
      </w:r>
      <w:r>
        <w:rPr>
          <w:rFonts w:hint="default" w:ascii="Times New Roman" w:hAnsi="Times New Roman" w:eastAsia="方正仿宋_GBK" w:cs="Times New Roman"/>
          <w:sz w:val="32"/>
          <w:szCs w:val="32"/>
          <w:shd w:val="clear" w:color="auto" w:fill="FFFFFF"/>
        </w:rPr>
        <w:t>万元，与2023年度相比，增加29.40万元。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同期数据</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shd w:val="clear" w:color="auto" w:fill="FFFFFF"/>
        </w:rPr>
        <w:t>较年初预算数增加29.40万元。</w:t>
      </w:r>
      <w:r>
        <w:rPr>
          <w:rFonts w:hint="default" w:ascii="Times New Roman" w:hAnsi="Times New Roman" w:eastAsia="方正仿宋_GBK" w:cs="Times New Roman"/>
          <w:color w:val="FF0000"/>
          <w:sz w:val="32"/>
          <w:szCs w:val="32"/>
          <w:shd w:val="clear" w:color="auto" w:fill="FFFFFF"/>
        </w:rPr>
        <w:t xml:space="preserve"> </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w:t>
      </w:r>
      <w:r>
        <w:rPr>
          <w:rFonts w:hint="default" w:ascii="Times New Roman" w:hAnsi="Times New Roman" w:eastAsia="方正仿宋_GBK" w:cs="Times New Roman"/>
          <w:sz w:val="32"/>
          <w:szCs w:val="32"/>
          <w:highlight w:val="none"/>
          <w:lang w:val="en-US" w:eastAsia="zh-CN"/>
        </w:rPr>
        <w:t>数据。</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度年末一般公共预算财政拨款结转和结余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万元，与2023年度相比，无增减，</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同期数据</w:t>
      </w:r>
      <w:r>
        <w:rPr>
          <w:rFonts w:hint="default" w:ascii="Times New Roman" w:hAnsi="Times New Roman" w:eastAsia="方正仿宋_GBK" w:cs="Times New Roman"/>
          <w:sz w:val="32"/>
          <w:szCs w:val="32"/>
          <w:highlight w:val="none"/>
          <w:lang w:val="en-US" w:eastAsia="zh-CN"/>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color w:val="FF0000"/>
          <w:sz w:val="32"/>
          <w:szCs w:val="32"/>
          <w:highlight w:val="cyan"/>
          <w:shd w:val="clear" w:color="auto" w:fill="FFFFFF"/>
        </w:rPr>
      </w:pPr>
      <w:r>
        <w:rPr>
          <w:rStyle w:val="9"/>
          <w:rFonts w:hint="default" w:ascii="Times New Roman" w:hAnsi="Times New Roman" w:eastAsia="方正仿宋_GBK" w:cs="Times New Roman"/>
          <w:sz w:val="32"/>
          <w:szCs w:val="32"/>
          <w:shd w:val="clear" w:color="auto" w:fill="FFFFFF"/>
        </w:rPr>
        <w:t xml:space="preserve"> 4.比较情况。</w:t>
      </w:r>
      <w:r>
        <w:rPr>
          <w:rFonts w:hint="default" w:ascii="Times New Roman" w:hAnsi="Times New Roman" w:eastAsia="方正仿宋_GBK" w:cs="Times New Roman"/>
          <w:sz w:val="32"/>
          <w:szCs w:val="32"/>
          <w:shd w:val="clear" w:color="auto" w:fill="FFFFFF"/>
        </w:rPr>
        <w:t>本部门</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度一般公共预算财政拨款支出主要用于以下几个方面：</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1</w:t>
      </w:r>
      <w:r>
        <w:rPr>
          <w:rFonts w:hint="default" w:ascii="Times New Roman" w:hAnsi="Times New Roman" w:eastAsia="方正仿宋_GBK" w:cs="Times New Roman"/>
          <w:sz w:val="32"/>
          <w:szCs w:val="32"/>
          <w:shd w:val="clear" w:color="auto" w:fill="FFFFFF"/>
        </w:rPr>
        <w:t>）社会保障与就业支出</w:t>
      </w:r>
      <w:r>
        <w:rPr>
          <w:rFonts w:hint="default" w:ascii="Times New Roman" w:hAnsi="Times New Roman" w:eastAsia="方正仿宋_GBK" w:cs="Times New Roman"/>
          <w:sz w:val="32"/>
          <w:szCs w:val="32"/>
        </w:rPr>
        <w:t>1.55</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5.27</w:t>
      </w:r>
      <w:r>
        <w:rPr>
          <w:rFonts w:hint="default" w:ascii="Times New Roman" w:hAnsi="Times New Roman" w:eastAsia="方正仿宋_GBK" w:cs="Times New Roman"/>
          <w:sz w:val="32"/>
          <w:szCs w:val="32"/>
          <w:shd w:val="clear" w:color="auto" w:fill="FFFFFF"/>
        </w:rPr>
        <w:t>%，较年初预算数增加1.55万元，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才挂牌成立，无年初数据。</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）卫生健康支出</w:t>
      </w:r>
      <w:r>
        <w:rPr>
          <w:rFonts w:hint="default" w:ascii="Times New Roman" w:hAnsi="Times New Roman" w:eastAsia="方正仿宋_GBK" w:cs="Times New Roman"/>
          <w:sz w:val="32"/>
          <w:szCs w:val="32"/>
        </w:rPr>
        <w:t>0.65</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2.20</w:t>
      </w:r>
      <w:r>
        <w:rPr>
          <w:rFonts w:hint="default" w:ascii="Times New Roman" w:hAnsi="Times New Roman" w:eastAsia="方正仿宋_GBK" w:cs="Times New Roman"/>
          <w:sz w:val="32"/>
          <w:szCs w:val="32"/>
          <w:shd w:val="clear" w:color="auto" w:fill="FFFFFF"/>
        </w:rPr>
        <w:t>%，较年初预算数增加0.65万元，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才挂牌成立，无年初数据。</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）资源勘探信息等支出</w:t>
      </w:r>
      <w:r>
        <w:rPr>
          <w:rFonts w:hint="default" w:ascii="Times New Roman" w:hAnsi="Times New Roman" w:eastAsia="方正仿宋_GBK" w:cs="Times New Roman"/>
          <w:sz w:val="32"/>
          <w:szCs w:val="32"/>
        </w:rPr>
        <w:t>26.30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89.46</w:t>
      </w:r>
      <w:r>
        <w:rPr>
          <w:rFonts w:hint="default" w:ascii="Times New Roman" w:hAnsi="Times New Roman" w:eastAsia="方正仿宋_GBK" w:cs="Times New Roman"/>
          <w:sz w:val="32"/>
          <w:szCs w:val="32"/>
          <w:shd w:val="clear" w:color="auto" w:fill="FFFFFF"/>
        </w:rPr>
        <w:t>%，较年初预算数增加26.30万元，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才挂牌成立，无年初数据。</w:t>
      </w:r>
    </w:p>
    <w:p>
      <w:pPr>
        <w:keepNext w:val="0"/>
        <w:keepLines w:val="0"/>
        <w:pageBreakBefore w:val="0"/>
        <w:widowControl/>
        <w:kinsoku/>
        <w:wordWrap/>
        <w:overflowPunct/>
        <w:topLinePunct w:val="0"/>
        <w:autoSpaceDN/>
        <w:bidi w:val="0"/>
        <w:adjustRightInd/>
        <w:spacing w:beforeAutospacing="0" w:line="594" w:lineRule="exact"/>
        <w:ind w:firstLine="640" w:firstLineChars="200"/>
        <w:textAlignment w:val="auto"/>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rPr>
        <w:t>住房保障支出0.90</w:t>
      </w:r>
      <w:r>
        <w:rPr>
          <w:rFonts w:hint="default" w:ascii="Times New Roman" w:hAnsi="Times New Roman" w:eastAsia="方正仿宋_GBK" w:cs="Times New Roman"/>
          <w:sz w:val="32"/>
          <w:szCs w:val="32"/>
          <w:shd w:val="clear" w:color="auto" w:fill="FFFFFF"/>
        </w:rPr>
        <w:t>万元，占</w:t>
      </w:r>
      <w:r>
        <w:rPr>
          <w:rFonts w:hint="default" w:ascii="Times New Roman" w:hAnsi="Times New Roman" w:eastAsia="方正仿宋_GBK" w:cs="Times New Roman"/>
          <w:sz w:val="32"/>
          <w:szCs w:val="32"/>
        </w:rPr>
        <w:t>3.07</w:t>
      </w:r>
      <w:r>
        <w:rPr>
          <w:rFonts w:hint="default" w:ascii="Times New Roman" w:hAnsi="Times New Roman" w:eastAsia="方正仿宋_GBK" w:cs="Times New Roman"/>
          <w:sz w:val="32"/>
          <w:szCs w:val="32"/>
          <w:shd w:val="clear" w:color="auto" w:fill="FFFFFF"/>
        </w:rPr>
        <w:t>%，较年初预算数增加0.90万元，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才挂牌成立，无年初数据。</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（四）一般公共预算财政拨款基本支出决算情况说明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 </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度一般公共财政拨款基本支出</w:t>
      </w:r>
      <w:r>
        <w:rPr>
          <w:rFonts w:hint="default" w:ascii="Times New Roman" w:hAnsi="Times New Roman" w:eastAsia="方正仿宋_GBK" w:cs="Times New Roman"/>
          <w:sz w:val="32"/>
          <w:szCs w:val="32"/>
        </w:rPr>
        <w:t>15.08</w:t>
      </w:r>
      <w:r>
        <w:rPr>
          <w:rFonts w:hint="default" w:ascii="Times New Roman" w:hAnsi="Times New Roman" w:eastAsia="方正仿宋_GBK" w:cs="Times New Roman"/>
          <w:sz w:val="32"/>
          <w:szCs w:val="32"/>
          <w:shd w:val="clear" w:color="auto" w:fill="FFFFFF"/>
        </w:rPr>
        <w:t>万元。其中：人员经费</w:t>
      </w:r>
      <w:r>
        <w:rPr>
          <w:rFonts w:hint="default" w:ascii="Times New Roman" w:hAnsi="Times New Roman" w:eastAsia="方正仿宋_GBK" w:cs="Times New Roman"/>
          <w:sz w:val="32"/>
          <w:szCs w:val="32"/>
        </w:rPr>
        <w:t>14.24</w:t>
      </w:r>
      <w:r>
        <w:rPr>
          <w:rFonts w:hint="default" w:ascii="Times New Roman" w:hAnsi="Times New Roman" w:eastAsia="方正仿宋_GBK" w:cs="Times New Roman"/>
          <w:sz w:val="32"/>
          <w:szCs w:val="32"/>
          <w:shd w:val="clear" w:color="auto" w:fill="FFFFFF"/>
        </w:rPr>
        <w:t>万元，与2023年度相比，增加14.24万元，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同期数据</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shd w:val="clear" w:color="auto" w:fill="FFFFFF"/>
        </w:rPr>
        <w:t>人员经费用途主要包括</w:t>
      </w:r>
      <w:r>
        <w:rPr>
          <w:rFonts w:hint="default" w:ascii="Times New Roman" w:hAnsi="Times New Roman" w:eastAsia="方正仿宋_GBK" w:cs="Times New Roman"/>
          <w:sz w:val="32"/>
          <w:szCs w:val="32"/>
          <w:shd w:val="clear" w:color="auto" w:fill="FFFFFF"/>
          <w:lang w:eastAsia="zh-CN"/>
        </w:rPr>
        <w:t>基本工资、公积金、社保等员工基本支出</w:t>
      </w:r>
      <w:r>
        <w:rPr>
          <w:rFonts w:hint="default" w:ascii="Times New Roman" w:hAnsi="Times New Roman" w:eastAsia="方正仿宋_GBK" w:cs="Times New Roman"/>
          <w:color w:val="FF0000"/>
          <w:sz w:val="32"/>
          <w:szCs w:val="32"/>
          <w:shd w:val="clear" w:color="auto" w:fill="FFFFFF"/>
        </w:rPr>
        <w:t>。</w:t>
      </w:r>
      <w:r>
        <w:rPr>
          <w:rFonts w:hint="default" w:ascii="Times New Roman" w:hAnsi="Times New Roman" w:eastAsia="方正仿宋_GBK" w:cs="Times New Roman"/>
          <w:sz w:val="32"/>
          <w:szCs w:val="32"/>
          <w:shd w:val="clear" w:color="auto" w:fill="FFFFFF"/>
        </w:rPr>
        <w:t>公用经费</w:t>
      </w:r>
      <w:r>
        <w:rPr>
          <w:rFonts w:hint="default" w:ascii="Times New Roman" w:hAnsi="Times New Roman" w:eastAsia="方正仿宋_GBK" w:cs="Times New Roman"/>
          <w:sz w:val="32"/>
          <w:szCs w:val="32"/>
        </w:rPr>
        <w:t>0.84</w:t>
      </w:r>
      <w:r>
        <w:rPr>
          <w:rFonts w:hint="default" w:ascii="Times New Roman" w:hAnsi="Times New Roman" w:eastAsia="方正仿宋_GBK" w:cs="Times New Roman"/>
          <w:sz w:val="32"/>
          <w:szCs w:val="32"/>
          <w:shd w:val="clear" w:color="auto" w:fill="FFFFFF"/>
        </w:rPr>
        <w:t>万元，与2023年度相比，增加0.84万元，</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同期数据</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shd w:val="clear" w:color="auto" w:fill="FFFFFF"/>
        </w:rPr>
        <w:t>公用经费用途</w:t>
      </w:r>
      <w:r>
        <w:rPr>
          <w:rFonts w:hint="default" w:ascii="Times New Roman" w:hAnsi="Times New Roman" w:eastAsia="方正仿宋_GBK" w:cs="Times New Roman"/>
          <w:sz w:val="32"/>
          <w:szCs w:val="32"/>
          <w:highlight w:val="none"/>
          <w:lang w:val="en-US" w:eastAsia="zh-CN"/>
        </w:rPr>
        <w:t>主要包括</w:t>
      </w:r>
      <w:r>
        <w:rPr>
          <w:rFonts w:hint="eastAsia" w:ascii="Times New Roman" w:hAnsi="Times New Roman" w:eastAsia="方正仿宋_GBK" w:cs="Times New Roman"/>
          <w:sz w:val="32"/>
          <w:szCs w:val="32"/>
          <w:highlight w:val="none"/>
          <w:lang w:val="en-US" w:eastAsia="zh-CN"/>
        </w:rPr>
        <w:t>办公费、伙食费、</w:t>
      </w:r>
      <w:r>
        <w:rPr>
          <w:rFonts w:hint="default" w:ascii="Times New Roman" w:hAnsi="Times New Roman" w:eastAsia="方正仿宋_GBK" w:cs="Times New Roman"/>
          <w:sz w:val="32"/>
          <w:szCs w:val="32"/>
          <w:highlight w:val="none"/>
          <w:lang w:val="en-US" w:eastAsia="zh-CN"/>
        </w:rPr>
        <w:t>差旅费、水电费等单位日常运转支出。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（五）政府性基金预算收支决算情况说明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本部门2024年度无政府性基金预算财政拨款收支。</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（六）国有资本经营预算财政拨款支出决算情况说明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本部门2024年度无国有资本经营预算财政拨款支出</w:t>
      </w:r>
      <w:r>
        <w:rPr>
          <w:rFonts w:hint="default" w:ascii="Times New Roman" w:hAnsi="Times New Roman" w:eastAsia="方正仿宋_GBK" w:cs="Times New Roman"/>
          <w:color w:val="FF0000"/>
          <w:sz w:val="32"/>
          <w:szCs w:val="32"/>
          <w:shd w:val="clear" w:color="auto" w:fill="FFFFFF"/>
        </w:rPr>
        <w:t>。</w:t>
      </w:r>
    </w:p>
    <w:p>
      <w:pPr>
        <w:pStyle w:val="5"/>
        <w:keepNext w:val="0"/>
        <w:keepLines w:val="0"/>
        <w:pageBreakBefore w:val="0"/>
        <w:widowControl/>
        <w:numPr>
          <w:ilvl w:val="0"/>
          <w:numId w:val="2"/>
        </w:numPr>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Style w:val="9"/>
          <w:rFonts w:hint="default" w:ascii="Times New Roman" w:hAnsi="Times New Roman" w:eastAsia="方正黑体_GBK" w:cs="Times New Roman"/>
          <w:b w:val="0"/>
          <w:bCs w:val="0"/>
          <w:sz w:val="32"/>
          <w:szCs w:val="32"/>
          <w:shd w:val="clear" w:color="auto" w:fill="FFFFFF"/>
        </w:rPr>
      </w:pPr>
      <w:r>
        <w:rPr>
          <w:rStyle w:val="9"/>
          <w:rFonts w:hint="default" w:ascii="Times New Roman" w:hAnsi="Times New Roman" w:eastAsia="方正黑体_GBK" w:cs="Times New Roman"/>
          <w:b w:val="0"/>
          <w:bCs w:val="0"/>
          <w:sz w:val="32"/>
          <w:szCs w:val="32"/>
          <w:shd w:val="clear" w:color="auto" w:fill="FFFFFF"/>
        </w:rPr>
        <w:t>“三公”经费情况说明</w:t>
      </w:r>
    </w:p>
    <w:p>
      <w:pPr>
        <w:pStyle w:val="5"/>
        <w:keepNext w:val="0"/>
        <w:keepLines w:val="0"/>
        <w:pageBreakBefore w:val="0"/>
        <w:widowControl/>
        <w:numPr>
          <w:ilvl w:val="0"/>
          <w:numId w:val="0"/>
        </w:numPr>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（一）“三公”经费支出总体情况说明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度“三公”经费支出共计</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万元，较年初预算数无增减，</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才挂牌成立，三公经费支出集中在二级事业单位大数据发展中心，且无</w:t>
      </w:r>
      <w:r>
        <w:rPr>
          <w:rFonts w:hint="default" w:ascii="Times New Roman" w:hAnsi="Times New Roman" w:eastAsia="方正仿宋_GBK" w:cs="Times New Roman"/>
          <w:sz w:val="32"/>
          <w:szCs w:val="32"/>
          <w:highlight w:val="none"/>
          <w:lang w:eastAsia="zh-CN"/>
        </w:rPr>
        <w:t>同期数据</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shd w:val="clear" w:color="auto" w:fill="FFFFFF"/>
        </w:rPr>
        <w:t>较上年支出数无增减，</w:t>
      </w:r>
      <w:r>
        <w:rPr>
          <w:rFonts w:hint="default" w:ascii="Times New Roman" w:hAnsi="Times New Roman" w:eastAsia="方正仿宋_GBK" w:cs="Times New Roman"/>
          <w:sz w:val="32"/>
          <w:szCs w:val="32"/>
          <w:shd w:val="clear" w:color="auto" w:fill="FFFFFF"/>
          <w:lang w:eastAsia="zh-CN"/>
        </w:rPr>
        <w:t>主要原因是2024年5月区大数据局</w:t>
      </w:r>
      <w:r>
        <w:rPr>
          <w:rFonts w:hint="default" w:ascii="Times New Roman" w:hAnsi="Times New Roman" w:eastAsia="方正仿宋_GBK" w:cs="Times New Roman"/>
          <w:sz w:val="32"/>
          <w:szCs w:val="32"/>
          <w:highlight w:val="none"/>
          <w:lang w:val="en-US" w:eastAsia="zh-CN"/>
        </w:rPr>
        <w:t>才挂牌成立，三公经费支出集中在二级事业单位大数据发展中心，无</w:t>
      </w:r>
      <w:r>
        <w:rPr>
          <w:rFonts w:hint="default" w:ascii="Times New Roman" w:hAnsi="Times New Roman" w:eastAsia="方正仿宋_GBK" w:cs="Times New Roman"/>
          <w:sz w:val="32"/>
          <w:szCs w:val="32"/>
          <w:highlight w:val="none"/>
          <w:lang w:eastAsia="zh-CN"/>
        </w:rPr>
        <w:t>同期数据</w:t>
      </w:r>
      <w:r>
        <w:rPr>
          <w:rFonts w:hint="default" w:ascii="Times New Roman" w:hAnsi="Times New Roman" w:eastAsia="方正仿宋_GBK" w:cs="Times New Roman"/>
          <w:sz w:val="32"/>
          <w:szCs w:val="32"/>
          <w:highlight w:val="none"/>
          <w:lang w:val="en-US" w:eastAsia="zh-CN"/>
        </w:rPr>
        <w:t>。</w:t>
      </w:r>
    </w:p>
    <w:p>
      <w:pPr>
        <w:pStyle w:val="5"/>
        <w:keepNext w:val="0"/>
        <w:keepLines w:val="0"/>
        <w:pageBreakBefore w:val="0"/>
        <w:widowControl/>
        <w:numPr>
          <w:ilvl w:val="0"/>
          <w:numId w:val="0"/>
        </w:numPr>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（二）“三公”经费分项支出情况</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度本部门</w:t>
      </w:r>
      <w:r>
        <w:rPr>
          <w:rFonts w:hint="default" w:ascii="Times New Roman" w:hAnsi="Times New Roman" w:eastAsia="方正仿宋_GBK" w:cs="Times New Roman"/>
          <w:sz w:val="32"/>
          <w:szCs w:val="32"/>
          <w:shd w:val="clear" w:color="auto" w:fill="FFFFFF"/>
          <w:lang w:eastAsia="zh-CN"/>
        </w:rPr>
        <w:t>无</w:t>
      </w:r>
      <w:r>
        <w:rPr>
          <w:rFonts w:hint="default" w:ascii="Times New Roman" w:hAnsi="Times New Roman" w:eastAsia="方正仿宋_GBK" w:cs="Times New Roman"/>
          <w:sz w:val="32"/>
          <w:szCs w:val="32"/>
          <w:shd w:val="clear" w:color="auto" w:fill="FFFFFF"/>
        </w:rPr>
        <w:t>因公出国（境）费用</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公务车购置费</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公务车运行维护费</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公务接待费</w:t>
      </w:r>
      <w:r>
        <w:rPr>
          <w:rFonts w:hint="default" w:ascii="Times New Roman" w:hAnsi="Times New Roman" w:eastAsia="方正仿宋_GBK" w:cs="Times New Roman"/>
          <w:sz w:val="32"/>
          <w:szCs w:val="32"/>
          <w:shd w:val="clear" w:color="auto" w:fill="FFFFFF"/>
          <w:lang w:eastAsia="zh-CN"/>
        </w:rPr>
        <w:t>。</w:t>
      </w:r>
    </w:p>
    <w:p>
      <w:pPr>
        <w:pStyle w:val="5"/>
        <w:keepNext w:val="0"/>
        <w:keepLines w:val="0"/>
        <w:pageBreakBefore w:val="0"/>
        <w:widowControl/>
        <w:numPr>
          <w:ilvl w:val="0"/>
          <w:numId w:val="0"/>
        </w:numPr>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（三）“三公”经费实物量情况</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度本部门因公出国（境）共计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个团组，</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人；公务用车购置</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辆，公务车保有量为</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辆；国内公务接待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人，其中：国内外事接待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人；国（境）外公务接待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本部门人均接待费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元，车均购置费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万元，车均维护费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万元。</w:t>
      </w:r>
    </w:p>
    <w:p>
      <w:pPr>
        <w:pStyle w:val="5"/>
        <w:keepNext w:val="0"/>
        <w:keepLines w:val="0"/>
        <w:pageBreakBefore w:val="0"/>
        <w:widowControl/>
        <w:shd w:val="clear" w:color="auto" w:fill="FFFFFF"/>
        <w:kinsoku/>
        <w:wordWrap/>
        <w:overflowPunct/>
        <w:topLinePunct w:val="0"/>
        <w:autoSpaceDN/>
        <w:bidi w:val="0"/>
        <w:adjustRightInd/>
        <w:spacing w:beforeAutospacing="0" w:line="594" w:lineRule="exact"/>
        <w:ind w:firstLine="640" w:firstLineChars="200"/>
        <w:textAlignment w:val="auto"/>
        <w:rPr>
          <w:rStyle w:val="9"/>
          <w:rFonts w:hint="default" w:ascii="Times New Roman" w:hAnsi="Times New Roman" w:eastAsia="方正黑体_GBK" w:cs="Times New Roman"/>
          <w:b w:val="0"/>
          <w:bCs/>
          <w:sz w:val="32"/>
          <w:szCs w:val="32"/>
          <w:shd w:val="clear" w:color="auto" w:fill="FFFFFF"/>
        </w:rPr>
      </w:pPr>
      <w:r>
        <w:rPr>
          <w:rStyle w:val="9"/>
          <w:rFonts w:hint="default" w:ascii="Times New Roman" w:hAnsi="Times New Roman" w:eastAsia="方正黑体_GBK" w:cs="Times New Roman"/>
          <w:b w:val="0"/>
          <w:bCs/>
          <w:sz w:val="32"/>
          <w:szCs w:val="32"/>
          <w:shd w:val="clear" w:color="auto" w:fill="FFFFFF"/>
        </w:rPr>
        <w:t>四、其他需要说明的事项</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（一）财政拨款会议费和培训费情况说明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本年度会议费支出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万元，与2023年度相比，无增减，主要原因是</w:t>
      </w:r>
      <w:r>
        <w:rPr>
          <w:rFonts w:hint="default" w:ascii="Times New Roman" w:hAnsi="Times New Roman" w:eastAsia="方正仿宋_GBK" w:cs="Times New Roman"/>
          <w:sz w:val="32"/>
          <w:szCs w:val="32"/>
          <w:shd w:val="clear" w:color="auto" w:fill="FFFFFF"/>
          <w:lang w:eastAsia="zh-CN"/>
        </w:rPr>
        <w:t>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同期数据</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本年度培训费支出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万元，与2023年度相比，无变化，主要原因是</w:t>
      </w:r>
      <w:r>
        <w:rPr>
          <w:rFonts w:hint="default" w:ascii="Times New Roman" w:hAnsi="Times New Roman" w:eastAsia="方正仿宋_GBK" w:cs="Times New Roman"/>
          <w:sz w:val="32"/>
          <w:szCs w:val="32"/>
          <w:shd w:val="clear" w:color="auto" w:fill="FFFFFF"/>
          <w:lang w:eastAsia="zh-CN"/>
        </w:rPr>
        <w:t>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同期数据</w:t>
      </w:r>
      <w:r>
        <w:rPr>
          <w:rFonts w:hint="default" w:ascii="Times New Roman" w:hAnsi="Times New Roman" w:eastAsia="方正仿宋_GBK" w:cs="Times New Roman"/>
          <w:sz w:val="32"/>
          <w:szCs w:val="32"/>
          <w:shd w:val="clear" w:color="auto" w:fill="FFFFFF"/>
          <w:lang w:eastAsia="zh-CN"/>
        </w:rPr>
        <w:t>。</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（二）机关运行经费情况说明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度本部门机关运行经费支出</w:t>
      </w:r>
      <w:r>
        <w:rPr>
          <w:rFonts w:hint="default" w:ascii="Times New Roman" w:hAnsi="Times New Roman" w:eastAsia="方正仿宋_GBK" w:cs="Times New Roman"/>
          <w:sz w:val="32"/>
          <w:szCs w:val="32"/>
        </w:rPr>
        <w:t>0.84</w:t>
      </w:r>
      <w:r>
        <w:rPr>
          <w:rFonts w:hint="default" w:ascii="Times New Roman" w:hAnsi="Times New Roman" w:eastAsia="方正仿宋_GBK" w:cs="Times New Roman"/>
          <w:sz w:val="32"/>
          <w:szCs w:val="32"/>
          <w:shd w:val="clear" w:color="auto" w:fill="FFFFFF"/>
        </w:rPr>
        <w:t>万元，机关运行经费主要用于开支</w:t>
      </w:r>
      <w:r>
        <w:rPr>
          <w:rFonts w:hint="default" w:ascii="Times New Roman" w:hAnsi="Times New Roman" w:eastAsia="方正仿宋_GBK" w:cs="Times New Roman"/>
          <w:sz w:val="32"/>
          <w:szCs w:val="32"/>
          <w:shd w:val="clear" w:color="auto" w:fill="FFFFFF"/>
          <w:lang w:eastAsia="zh-CN"/>
        </w:rPr>
        <w:t>单位日常运转产生的差旅费、水电费、印刷费等支出。</w:t>
      </w:r>
      <w:r>
        <w:rPr>
          <w:rFonts w:hint="default" w:ascii="Times New Roman" w:hAnsi="Times New Roman" w:eastAsia="方正仿宋_GBK" w:cs="Times New Roman"/>
          <w:sz w:val="32"/>
          <w:szCs w:val="32"/>
          <w:shd w:val="clear" w:color="auto" w:fill="FFFFFF"/>
        </w:rPr>
        <w:t>机关运行经费较上年支出数增加0.84万元，主要原因是</w:t>
      </w:r>
      <w:r>
        <w:rPr>
          <w:rFonts w:hint="default" w:ascii="Times New Roman" w:hAnsi="Times New Roman" w:eastAsia="方正仿宋_GBK" w:cs="Times New Roman"/>
          <w:sz w:val="32"/>
          <w:szCs w:val="32"/>
          <w:shd w:val="clear" w:color="auto" w:fill="FFFFFF"/>
          <w:lang w:eastAsia="zh-CN"/>
        </w:rPr>
        <w:t>2024年5月区大数据局</w:t>
      </w:r>
      <w:r>
        <w:rPr>
          <w:rFonts w:hint="default" w:ascii="Times New Roman" w:hAnsi="Times New Roman" w:eastAsia="方正仿宋_GBK" w:cs="Times New Roman"/>
          <w:sz w:val="32"/>
          <w:szCs w:val="32"/>
          <w:highlight w:val="none"/>
          <w:lang w:val="en-US" w:eastAsia="zh-CN"/>
        </w:rPr>
        <w:t>才挂牌成立，无</w:t>
      </w:r>
      <w:r>
        <w:rPr>
          <w:rFonts w:hint="default" w:ascii="Times New Roman" w:hAnsi="Times New Roman" w:eastAsia="方正仿宋_GBK" w:cs="Times New Roman"/>
          <w:sz w:val="32"/>
          <w:szCs w:val="32"/>
          <w:highlight w:val="none"/>
          <w:lang w:eastAsia="zh-CN"/>
        </w:rPr>
        <w:t>同期数据</w:t>
      </w:r>
      <w:r>
        <w:rPr>
          <w:rFonts w:hint="default" w:ascii="Times New Roman" w:hAnsi="Times New Roman" w:eastAsia="方正仿宋_GBK" w:cs="Times New Roman"/>
          <w:sz w:val="32"/>
          <w:szCs w:val="32"/>
          <w:shd w:val="clear" w:color="auto" w:fill="FFFFFF"/>
          <w:lang w:eastAsia="zh-CN"/>
        </w:rPr>
        <w:t>。</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（三）国有资产占用情况说明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 xml:space="preserve"> 截至</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12月31日，本部门共有车辆</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辆，其中，副部（省）级及以上领导用车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辆、主要负责人用车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辆、机要通信用车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辆、应急保障用车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辆、执法执勤用车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辆，特种专业技术用车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辆，离退休干部用车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辆。单价100万元（含）以上专用设备</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台（套）。</w:t>
      </w:r>
    </w:p>
    <w:p>
      <w:pPr>
        <w:pStyle w:val="10"/>
        <w:keepNext w:val="0"/>
        <w:keepLines w:val="0"/>
        <w:pageBreakBefore w:val="0"/>
        <w:widowControl/>
        <w:kinsoku/>
        <w:wordWrap/>
        <w:overflowPunct/>
        <w:topLinePunct w:val="0"/>
        <w:autoSpaceDE w:val="0"/>
        <w:autoSpaceDN/>
        <w:bidi w:val="0"/>
        <w:adjustRightInd/>
        <w:spacing w:beforeAutospacing="0" w:line="594" w:lineRule="exact"/>
        <w:ind w:firstLine="640"/>
        <w:textAlignment w:val="auto"/>
        <w:rPr>
          <w:rFonts w:hint="default" w:ascii="Times New Roman" w:hAnsi="Times New Roman" w:eastAsia="方正楷体_GBK" w:cs="Times New Roman"/>
          <w:b w:val="0"/>
          <w:bCs w:val="0"/>
          <w:sz w:val="32"/>
          <w:szCs w:val="32"/>
          <w:shd w:val="clear" w:color="auto" w:fill="FFFFFF"/>
          <w:lang w:bidi="ar"/>
        </w:rPr>
      </w:pPr>
      <w:r>
        <w:rPr>
          <w:rFonts w:hint="default" w:ascii="Times New Roman" w:hAnsi="Times New Roman" w:eastAsia="方正楷体_GBK" w:cs="Times New Roman"/>
          <w:b w:val="0"/>
          <w:bCs w:val="0"/>
          <w:sz w:val="32"/>
          <w:szCs w:val="32"/>
          <w:shd w:val="clear" w:color="auto" w:fill="FFFFFF"/>
          <w:lang w:bidi="ar"/>
        </w:rPr>
        <w:t>（四）政府采购支出情况说明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 xml:space="preserve">  </w:t>
      </w:r>
      <w:r>
        <w:rPr>
          <w:rFonts w:hint="default" w:ascii="Times New Roman" w:hAnsi="Times New Roman" w:eastAsia="方正仿宋_GBK" w:cs="Times New Roman"/>
          <w:sz w:val="32"/>
          <w:szCs w:val="32"/>
          <w:shd w:val="clear" w:color="auto" w:fill="FFFFFF"/>
          <w:lang w:eastAsia="zh-CN"/>
        </w:rPr>
        <w:t>2024年</w:t>
      </w:r>
      <w:r>
        <w:rPr>
          <w:rFonts w:hint="default" w:ascii="Times New Roman" w:hAnsi="Times New Roman" w:eastAsia="方正仿宋_GBK" w:cs="Times New Roman"/>
          <w:sz w:val="32"/>
          <w:szCs w:val="32"/>
          <w:shd w:val="clear" w:color="auto" w:fill="FFFFFF"/>
        </w:rPr>
        <w:t>度我</w:t>
      </w:r>
      <w:r>
        <w:rPr>
          <w:rFonts w:hint="default" w:ascii="Times New Roman" w:hAnsi="Times New Roman" w:eastAsia="方正仿宋_GBK" w:cs="Times New Roman"/>
          <w:sz w:val="32"/>
          <w:szCs w:val="32"/>
          <w:shd w:val="clear" w:color="auto" w:fill="FFFFFF"/>
          <w:lang w:eastAsia="zh-CN"/>
        </w:rPr>
        <w:t>部门</w:t>
      </w:r>
      <w:r>
        <w:rPr>
          <w:rFonts w:hint="default" w:ascii="Times New Roman" w:hAnsi="Times New Roman" w:eastAsia="方正仿宋_GBK" w:cs="Times New Roman"/>
          <w:sz w:val="32"/>
          <w:szCs w:val="32"/>
          <w:shd w:val="clear" w:color="auto" w:fill="FFFFFF"/>
        </w:rPr>
        <w:t>未发生政府采购事项，无相关经费支出。</w:t>
      </w:r>
    </w:p>
    <w:p>
      <w:pPr>
        <w:pStyle w:val="5"/>
        <w:keepNext w:val="0"/>
        <w:keepLines w:val="0"/>
        <w:pageBreakBefore w:val="0"/>
        <w:widowControl/>
        <w:shd w:val="clear" w:color="auto" w:fill="FFFFFF"/>
        <w:kinsoku/>
        <w:wordWrap/>
        <w:overflowPunct/>
        <w:topLinePunct w:val="0"/>
        <w:autoSpaceDN/>
        <w:bidi w:val="0"/>
        <w:adjustRightInd/>
        <w:spacing w:line="594" w:lineRule="exact"/>
        <w:ind w:firstLine="640" w:firstLineChars="200"/>
        <w:textAlignment w:val="auto"/>
        <w:rPr>
          <w:rStyle w:val="9"/>
          <w:rFonts w:hint="default" w:ascii="Times New Roman" w:hAnsi="Times New Roman" w:eastAsia="方正黑体_GBK" w:cs="Times New Roman"/>
          <w:b w:val="0"/>
          <w:bCs/>
          <w:sz w:val="32"/>
          <w:szCs w:val="32"/>
          <w:shd w:val="clear" w:color="auto" w:fill="FFFFFF"/>
          <w:lang w:val="en-US" w:eastAsia="zh-CN"/>
        </w:rPr>
      </w:pPr>
      <w:r>
        <w:rPr>
          <w:rStyle w:val="9"/>
          <w:rFonts w:hint="eastAsia" w:ascii="Times New Roman" w:hAnsi="Times New Roman" w:eastAsia="方正黑体_GBK" w:cs="Times New Roman"/>
          <w:b w:val="0"/>
          <w:bCs/>
          <w:sz w:val="32"/>
          <w:szCs w:val="32"/>
          <w:shd w:val="clear" w:color="auto" w:fill="FFFFFF"/>
          <w:lang w:val="en-US" w:eastAsia="zh-CN"/>
        </w:rPr>
        <w:t>五</w:t>
      </w:r>
      <w:r>
        <w:rPr>
          <w:rStyle w:val="9"/>
          <w:rFonts w:hint="default" w:ascii="Times New Roman" w:hAnsi="Times New Roman" w:eastAsia="方正黑体_GBK" w:cs="Times New Roman"/>
          <w:b w:val="0"/>
          <w:bCs/>
          <w:sz w:val="32"/>
          <w:szCs w:val="32"/>
          <w:shd w:val="clear" w:color="auto" w:fill="FFFFFF"/>
          <w:lang w:val="en-US" w:eastAsia="zh-CN"/>
        </w:rPr>
        <w:t>、专业名词解释</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以下为常见专业名词解释目录，仅供参考</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0"/>
          <w:sz w:val="32"/>
          <w:szCs w:val="32"/>
          <w:shd w:val="clear" w:color="auto" w:fill="FFFFFF"/>
          <w:lang w:val="en-US" w:eastAsia="zh-CN" w:bidi="ar"/>
        </w:rPr>
        <w:t>（一）财政拨款收入：</w:t>
      </w:r>
      <w:r>
        <w:rPr>
          <w:rFonts w:hint="default" w:ascii="Times New Roman" w:hAnsi="Times New Roman" w:eastAsia="方正仿宋_GBK" w:cs="Times New Roman"/>
          <w:sz w:val="32"/>
          <w:szCs w:val="32"/>
          <w:shd w:val="clear" w:color="auto" w:fill="FFFFFF"/>
        </w:rPr>
        <w:t>指本年度从本级财政部门取得的财政拨款，包括一般公共预算财政拨款和政府性基金预算财政拨款。</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（二）事业收入：</w:t>
      </w:r>
      <w:r>
        <w:rPr>
          <w:rFonts w:hint="default" w:ascii="Times New Roman" w:hAnsi="Times New Roman" w:eastAsia="方正仿宋_GBK" w:cs="Times New Roman"/>
          <w:sz w:val="32"/>
          <w:szCs w:val="32"/>
          <w:shd w:val="clear" w:color="auto" w:fill="FFFFFF"/>
        </w:rPr>
        <w:t>指事业单位开展专业业务活动及其辅助活动取得的现金流入；事业单位收到的财政专户实际核拨的教育收费等资金在此反映。</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（三）经营收入：</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指事业单位在专业业务活动及其辅助活动之外开展非独立核算经营活动取得的现金流入。</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（四）其他收入：</w:t>
      </w:r>
      <w:r>
        <w:rPr>
          <w:rFonts w:hint="default" w:ascii="Times New Roman" w:hAnsi="Times New Roman" w:eastAsia="方正仿宋_GBK" w:cs="Times New Roman"/>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0"/>
          <w:sz w:val="32"/>
          <w:szCs w:val="32"/>
          <w:shd w:val="clear" w:color="auto" w:fill="FFFFFF"/>
          <w:lang w:val="en-US" w:eastAsia="zh-CN" w:bidi="ar"/>
        </w:rPr>
        <w:t>（五）使用非财政拨款结余：</w:t>
      </w:r>
      <w:r>
        <w:rPr>
          <w:rFonts w:hint="default" w:ascii="Times New Roman" w:hAnsi="Times New Roman" w:eastAsia="方正仿宋_GBK" w:cs="Times New Roman"/>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（六）年初结转和结余：</w:t>
      </w:r>
      <w:r>
        <w:rPr>
          <w:rFonts w:hint="default" w:ascii="Times New Roman" w:hAnsi="Times New Roman" w:eastAsia="方正仿宋_GBK" w:cs="Times New Roman"/>
          <w:sz w:val="32"/>
          <w:szCs w:val="32"/>
          <w:shd w:val="clear" w:color="auto" w:fill="FFFFFF"/>
        </w:rPr>
        <w:t>指单位上年结转本年使用的基本支出结转、项目支出结转和结余、经营结余。</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（七）结余分配：</w:t>
      </w:r>
      <w:r>
        <w:rPr>
          <w:rFonts w:hint="default" w:ascii="Times New Roman" w:hAnsi="Times New Roman" w:eastAsia="方正仿宋_GBK" w:cs="Times New Roman"/>
          <w:sz w:val="32"/>
          <w:szCs w:val="32"/>
          <w:shd w:val="clear" w:color="auto" w:fill="FFFFFF"/>
        </w:rPr>
        <w:t>指单位按照国家有关规定，缴纳所得税、提取专用基金、转入非财政拨款结余等当年结余的分配情况。</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（八）年末结转和结余：</w:t>
      </w:r>
      <w:r>
        <w:rPr>
          <w:rFonts w:hint="default" w:ascii="Times New Roman" w:hAnsi="Times New Roman" w:eastAsia="方正仿宋_GBK" w:cs="Times New Roman"/>
          <w:sz w:val="32"/>
          <w:szCs w:val="32"/>
          <w:shd w:val="clear" w:color="auto" w:fill="FFFFFF"/>
        </w:rPr>
        <w:t>指单位结转下年的基本支出结转、项目支出结转和结余、经营结余。</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（九）基本支出：</w:t>
      </w:r>
      <w:r>
        <w:rPr>
          <w:rFonts w:hint="default" w:ascii="Times New Roman" w:hAnsi="Times New Roman" w:eastAsia="方正仿宋_GBK" w:cs="Times New Roman"/>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0"/>
          <w:sz w:val="32"/>
          <w:szCs w:val="32"/>
          <w:shd w:val="clear" w:color="auto" w:fill="FFFFFF"/>
          <w:lang w:val="en-US" w:eastAsia="zh-CN" w:bidi="ar"/>
        </w:rPr>
        <w:t> （十）项目支出：</w:t>
      </w:r>
      <w:r>
        <w:rPr>
          <w:rFonts w:hint="default" w:ascii="Times New Roman" w:hAnsi="Times New Roman" w:eastAsia="方正仿宋_GBK" w:cs="Times New Roman"/>
          <w:sz w:val="32"/>
          <w:szCs w:val="32"/>
          <w:shd w:val="clear" w:color="auto" w:fill="FFFFFF"/>
        </w:rPr>
        <w:t>指在基本支出之外为完成特定行政任务和事业发展目标所发生的支出。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（十一）经营支出：</w:t>
      </w:r>
      <w:r>
        <w:rPr>
          <w:rFonts w:hint="default" w:ascii="Times New Roman" w:hAnsi="Times New Roman" w:eastAsia="方正仿宋_GBK" w:cs="Times New Roman"/>
          <w:sz w:val="32"/>
          <w:szCs w:val="32"/>
          <w:shd w:val="clear" w:color="auto" w:fill="FFFFFF"/>
        </w:rPr>
        <w:t>指事业单位在专业业务活动及其辅助活动之外开展非独立核算经营活动发生的支出。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（十二）“三公”经费：</w:t>
      </w:r>
      <w:r>
        <w:rPr>
          <w:rFonts w:hint="default" w:ascii="Times New Roman" w:hAnsi="Times New Roman" w:eastAsia="方正仿宋_GBK" w:cs="Times New Roman"/>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val="0"/>
          <w:bCs w:val="0"/>
          <w:kern w:val="0"/>
          <w:sz w:val="32"/>
          <w:szCs w:val="32"/>
          <w:shd w:val="clear" w:color="auto" w:fill="FFFFFF"/>
          <w:lang w:val="en-US" w:eastAsia="zh-CN" w:bidi="ar"/>
        </w:rPr>
        <w:t> （十三）机关运行经费：</w:t>
      </w:r>
      <w:r>
        <w:rPr>
          <w:rFonts w:hint="default" w:ascii="Times New Roman" w:hAnsi="Times New Roman" w:eastAsia="方正仿宋_GBK" w:cs="Times New Roman"/>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（十四）工资福利支出（支出经济分类科目类级）：</w:t>
      </w:r>
      <w:r>
        <w:rPr>
          <w:rFonts w:hint="default" w:ascii="Times New Roman" w:hAnsi="Times New Roman" w:eastAsia="方正仿宋_GBK" w:cs="Times New Roman"/>
          <w:sz w:val="32"/>
          <w:szCs w:val="32"/>
          <w:shd w:val="clear" w:color="auto" w:fill="FFFFFF"/>
        </w:rPr>
        <w:t>反映单位开支的在职职工和编制外长期聘用人员的各类劳动报酬，以及为上述人员缴纳的各项社会保险费等。</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Fonts w:hint="default" w:ascii="Times New Roman" w:hAnsi="Times New Roman" w:eastAsia="方正楷体_GBK" w:cs="Times New Roman"/>
          <w:b w:val="0"/>
          <w:bCs w:val="0"/>
          <w:kern w:val="0"/>
          <w:sz w:val="32"/>
          <w:szCs w:val="32"/>
          <w:shd w:val="clear" w:color="auto" w:fill="FFFFFF"/>
          <w:lang w:val="en-US" w:eastAsia="zh-CN" w:bidi="ar"/>
        </w:rPr>
        <w:t>（十五）商品和服务支出（支出经济分类科目类级）：</w:t>
      </w:r>
      <w:r>
        <w:rPr>
          <w:rFonts w:hint="default" w:ascii="Times New Roman" w:hAnsi="Times New Roman" w:eastAsia="方正仿宋_GBK" w:cs="Times New Roman"/>
          <w:sz w:val="32"/>
          <w:szCs w:val="32"/>
          <w:shd w:val="clear" w:color="auto" w:fill="FFFFFF"/>
        </w:rPr>
        <w:t>反映单位购买商品和服务的支出（不包括用于购置固定资产的支出、战略性和应急储备支出）。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楷体" w:cs="Times New Roman"/>
          <w:sz w:val="32"/>
          <w:szCs w:val="32"/>
          <w:shd w:val="clear" w:color="auto" w:fill="FFFFFF"/>
        </w:rPr>
        <w:t> </w:t>
      </w:r>
      <w:r>
        <w:rPr>
          <w:rStyle w:val="9"/>
          <w:rFonts w:hint="default" w:ascii="Times New Roman" w:hAnsi="Times New Roman" w:eastAsia="方正楷体_GBK" w:cs="Times New Roman"/>
          <w:b w:val="0"/>
          <w:bCs/>
          <w:sz w:val="32"/>
          <w:szCs w:val="32"/>
          <w:shd w:val="clear" w:color="auto" w:fill="FFFFFF"/>
        </w:rPr>
        <w:t>（十六）对个人和家庭的补助（支出经济分类科目类级）</w:t>
      </w:r>
      <w:r>
        <w:rPr>
          <w:rFonts w:hint="default" w:ascii="Times New Roman" w:hAnsi="Times New Roman" w:eastAsia="方正楷体_GBK" w:cs="Times New Roman"/>
          <w:b w:val="0"/>
          <w:bCs/>
          <w:sz w:val="32"/>
          <w:szCs w:val="32"/>
          <w:shd w:val="clear" w:color="auto" w:fill="FFFFFF"/>
        </w:rPr>
        <w:t>：</w:t>
      </w:r>
      <w:r>
        <w:rPr>
          <w:rFonts w:hint="default" w:ascii="Times New Roman" w:hAnsi="Times New Roman" w:eastAsia="方正仿宋_GBK" w:cs="Times New Roman"/>
          <w:sz w:val="32"/>
          <w:szCs w:val="32"/>
          <w:shd w:val="clear" w:color="auto" w:fill="FFFFFF"/>
        </w:rPr>
        <w:t>反映用于对个人和家庭的补助支出。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94" w:lineRule="exact"/>
        <w:ind w:firstLine="643" w:firstLineChars="200"/>
        <w:jc w:val="both"/>
        <w:textAlignment w:val="auto"/>
        <w:rPr>
          <w:rFonts w:hint="default" w:ascii="Times New Roman" w:hAnsi="Times New Roman" w:eastAsia="方正仿宋_GBK" w:cs="Times New Roman"/>
          <w:sz w:val="32"/>
          <w:szCs w:val="32"/>
        </w:rPr>
      </w:pPr>
      <w:r>
        <w:rPr>
          <w:rStyle w:val="9"/>
          <w:rFonts w:hint="default" w:ascii="Times New Roman" w:hAnsi="Times New Roman" w:eastAsia="方正仿宋_GBK" w:cs="Times New Roman"/>
          <w:sz w:val="32"/>
          <w:szCs w:val="32"/>
          <w:shd w:val="clear" w:color="auto" w:fill="FFFFFF"/>
        </w:rPr>
        <w:t> </w:t>
      </w:r>
      <w:r>
        <w:rPr>
          <w:rStyle w:val="9"/>
          <w:rFonts w:hint="default" w:ascii="Times New Roman" w:hAnsi="Times New Roman" w:eastAsia="方正楷体_GBK" w:cs="Times New Roman"/>
          <w:b w:val="0"/>
          <w:bCs/>
          <w:sz w:val="32"/>
          <w:szCs w:val="32"/>
          <w:shd w:val="clear" w:color="auto" w:fill="FFFFFF"/>
        </w:rPr>
        <w:t>（十七）其他资本性支出（支出经济分类科目类级）：</w:t>
      </w:r>
      <w:r>
        <w:rPr>
          <w:rFonts w:hint="default" w:ascii="Times New Roman" w:hAnsi="Times New Roman" w:eastAsia="方正仿宋_GBK" w:cs="Times New Roman"/>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5"/>
        <w:keepNext w:val="0"/>
        <w:keepLines w:val="0"/>
        <w:pageBreakBefore w:val="0"/>
        <w:widowControl/>
        <w:shd w:val="clear" w:color="auto" w:fill="FFFFFF"/>
        <w:kinsoku/>
        <w:wordWrap/>
        <w:overflowPunct/>
        <w:topLinePunct w:val="0"/>
        <w:autoSpaceDN/>
        <w:bidi w:val="0"/>
        <w:adjustRightInd/>
        <w:spacing w:line="594" w:lineRule="exact"/>
        <w:ind w:firstLine="640" w:firstLineChars="200"/>
        <w:textAlignment w:val="auto"/>
        <w:rPr>
          <w:rStyle w:val="9"/>
          <w:rFonts w:hint="default" w:ascii="Times New Roman" w:hAnsi="Times New Roman" w:eastAsia="方正黑体_GBK" w:cs="Times New Roman"/>
          <w:b w:val="0"/>
          <w:bCs/>
          <w:sz w:val="32"/>
          <w:szCs w:val="32"/>
          <w:shd w:val="clear" w:color="auto" w:fill="FFFFFF"/>
          <w:lang w:val="en-US" w:eastAsia="zh-CN"/>
        </w:rPr>
      </w:pPr>
      <w:r>
        <w:rPr>
          <w:rStyle w:val="9"/>
          <w:rFonts w:hint="eastAsia" w:ascii="Times New Roman" w:hAnsi="Times New Roman" w:eastAsia="方正黑体_GBK" w:cs="Times New Roman"/>
          <w:b w:val="0"/>
          <w:bCs/>
          <w:sz w:val="32"/>
          <w:szCs w:val="32"/>
          <w:shd w:val="clear" w:color="auto" w:fill="FFFFFF"/>
          <w:lang w:val="en-US" w:eastAsia="zh-CN"/>
        </w:rPr>
        <w:t>六</w:t>
      </w:r>
      <w:r>
        <w:rPr>
          <w:rStyle w:val="9"/>
          <w:rFonts w:hint="default" w:ascii="Times New Roman" w:hAnsi="Times New Roman" w:eastAsia="方正黑体_GBK" w:cs="Times New Roman"/>
          <w:b w:val="0"/>
          <w:bCs/>
          <w:sz w:val="32"/>
          <w:szCs w:val="32"/>
          <w:shd w:val="clear" w:color="auto" w:fill="FFFFFF"/>
          <w:lang w:val="en-US" w:eastAsia="zh-CN"/>
        </w:rPr>
        <w:t>、决算公开联系方式及信息反馈渠道</w:t>
      </w:r>
    </w:p>
    <w:p>
      <w:pPr>
        <w:pStyle w:val="5"/>
        <w:keepNext w:val="0"/>
        <w:keepLines w:val="0"/>
        <w:pageBreakBefore w:val="0"/>
        <w:widowControl/>
        <w:shd w:val="clear" w:color="auto" w:fill="FFFFFF"/>
        <w:kinsoku/>
        <w:wordWrap/>
        <w:overflowPunct/>
        <w:topLinePunct w:val="0"/>
        <w:autoSpaceDN/>
        <w:bidi w:val="0"/>
        <w:adjustRightInd/>
        <w:spacing w:line="594" w:lineRule="exact"/>
        <w:ind w:firstLine="640" w:firstLineChars="200"/>
        <w:textAlignment w:val="auto"/>
        <w:rPr>
          <w:rStyle w:val="9"/>
          <w:rFonts w:hint="default" w:ascii="Times New Roman" w:hAnsi="Times New Roman" w:eastAsia="方正仿宋_GBK" w:cs="Times New Roman"/>
          <w:sz w:val="32"/>
          <w:szCs w:val="32"/>
          <w:shd w:val="clear" w:color="auto" w:fill="FFFF00"/>
          <w:lang w:val="en-US"/>
        </w:rPr>
      </w:pPr>
      <w:r>
        <w:rPr>
          <w:rFonts w:hint="default" w:ascii="Times New Roman" w:hAnsi="Times New Roman" w:eastAsia="方正仿宋_GBK" w:cs="Times New Roman"/>
          <w:sz w:val="32"/>
          <w:szCs w:val="32"/>
          <w:shd w:val="clear" w:color="auto" w:fill="FFFFFF"/>
        </w:rPr>
        <w:t>本单位决算公开信息反馈和联系方式：</w:t>
      </w:r>
      <w:r>
        <w:rPr>
          <w:rFonts w:hint="default" w:ascii="Times New Roman" w:hAnsi="Times New Roman" w:eastAsia="方正仿宋_GBK" w:cs="Times New Roman"/>
          <w:sz w:val="32"/>
          <w:szCs w:val="32"/>
          <w:shd w:val="clear" w:color="auto" w:fill="FFFFFF"/>
          <w:lang w:val="en-US" w:eastAsia="zh-CN"/>
        </w:rPr>
        <w:t>023-79082390</w:t>
      </w:r>
    </w:p>
    <w:p>
      <w:pPr>
        <w:pStyle w:val="10"/>
        <w:autoSpaceDE w:val="0"/>
        <w:ind w:firstLine="0" w:firstLineChars="0"/>
        <w:rPr>
          <w:rStyle w:val="9"/>
          <w:rFonts w:ascii="方正仿宋_GBK" w:hAnsi="方正仿宋_GBK" w:eastAsia="方正仿宋_GBK" w:cs="方正仿宋_GBK"/>
          <w:sz w:val="32"/>
          <w:szCs w:val="32"/>
          <w:shd w:val="clear" w:color="auto" w:fill="FFFF00"/>
        </w:rPr>
      </w:pPr>
    </w:p>
    <w:p>
      <w:pPr>
        <w:pStyle w:val="10"/>
        <w:autoSpaceDE w:val="0"/>
        <w:ind w:firstLine="0" w:firstLineChars="0"/>
        <w:rPr>
          <w:rStyle w:val="9"/>
          <w:rFonts w:ascii="方正仿宋_GBK" w:hAnsi="方正仿宋_GBK" w:eastAsia="方正仿宋_GBK" w:cs="方正仿宋_GBK"/>
          <w:sz w:val="32"/>
          <w:szCs w:val="32"/>
          <w:shd w:val="clear" w:color="auto" w:fill="FFFF00"/>
        </w:rPr>
      </w:pPr>
    </w:p>
    <w:p>
      <w:pPr>
        <w:pStyle w:val="10"/>
        <w:autoSpaceDE w:val="0"/>
        <w:ind w:firstLine="0" w:firstLineChars="0"/>
        <w:rPr>
          <w:rStyle w:val="9"/>
          <w:rFonts w:hint="eastAsia" w:ascii="方正仿宋_GBK" w:hAnsi="方正仿宋_GBK" w:eastAsia="方正仿宋_GBK" w:cs="方正仿宋_GBK"/>
          <w:sz w:val="32"/>
          <w:szCs w:val="32"/>
          <w:shd w:val="clear" w:color="auto" w:fill="FFFF00"/>
        </w:rPr>
        <w:sectPr>
          <w:footerReference r:id="rId3" w:type="default"/>
          <w:pgSz w:w="11915" w:h="16840"/>
          <w:pgMar w:top="2098" w:right="1474" w:bottom="1984" w:left="1587" w:header="851" w:footer="992" w:gutter="0"/>
          <w:pgNumType w:fmt="numberInDash"/>
          <w:cols w:space="720" w:num="1"/>
          <w:docGrid w:type="lines" w:linePitch="312" w:charSpace="0"/>
        </w:sectPr>
      </w:pPr>
    </w:p>
    <w:p>
      <w:pPr>
        <w:rPr>
          <w:rFonts w:hint="eastAsia" w:ascii="宋体" w:hAnsi="宋体" w:eastAsia="宋体" w:cs="宋体"/>
          <w:sz w:val="21"/>
          <w:szCs w:val="21"/>
        </w:rPr>
      </w:pPr>
    </w:p>
    <w:tbl>
      <w:tblPr>
        <w:tblStyle w:val="6"/>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tblPrEx>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tblPrEx>
          <w:shd w:val="clear" w:color="auto" w:fill="auto"/>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358" w:type="dxa"/>
            <w:tcBorders>
              <w:top w:val="nil"/>
              <w:left w:val="nil"/>
              <w:bottom w:val="nil"/>
              <w:right w:val="nil"/>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817"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tblPrEx>
          <w:shd w:val="clear" w:color="auto" w:fill="auto"/>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重庆市黔江区大数据应用发展管理局（本级）</w:t>
            </w:r>
          </w:p>
        </w:tc>
        <w:tc>
          <w:tcPr>
            <w:tcW w:w="4358" w:type="dxa"/>
            <w:tcBorders>
              <w:top w:val="nil"/>
              <w:left w:val="nil"/>
              <w:bottom w:val="nil"/>
              <w:right w:val="nil"/>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2"/>
                <w:szCs w:val="22"/>
                <w:u w:val="none"/>
              </w:rPr>
            </w:pPr>
          </w:p>
        </w:tc>
        <w:tc>
          <w:tcPr>
            <w:tcW w:w="7536"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817"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29.40</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1.55</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0.65</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26.30</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0.90</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29.40</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29.40</w:t>
            </w: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29.40</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29.40</w:t>
            </w:r>
            <w:r>
              <w:rPr>
                <w:rFonts w:hint="eastAsia" w:cs="宋体"/>
                <w:color w:val="000000"/>
                <w:sz w:val="21"/>
                <w:szCs w:val="21"/>
                <w:lang w:val="en-US" w:eastAsia="zh-CN" w:bidi="ar"/>
              </w:rPr>
              <w:t xml:space="preserve"> </w:t>
            </w:r>
          </w:p>
        </w:tc>
      </w:tr>
    </w:tbl>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tblPrEx>
          <w:shd w:val="clear" w:color="auto" w:fill="auto"/>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tblPrEx>
          <w:shd w:val="clear" w:color="auto" w:fill="auto"/>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重庆市黔江区大数据应用发展管理局（本级）</w:t>
            </w:r>
          </w:p>
        </w:tc>
        <w:tc>
          <w:tcPr>
            <w:tcW w:w="241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9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36"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tblPrEx>
          <w:shd w:val="clear" w:color="auto" w:fill="auto"/>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1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9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36"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tblPrEx>
          <w:shd w:val="clear" w:color="auto" w:fill="auto"/>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29.40</w:t>
            </w:r>
            <w:r>
              <w:rPr>
                <w:rFonts w:hint="eastAsia" w:cs="宋体"/>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29.40</w:t>
            </w: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1.55</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1.55</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1.55</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1.55</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1.03</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1.03</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0.52</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0.52</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0.65</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0.65</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0.65</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0.65</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0.65</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0.65</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资源勘探工业信息等支出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26.30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26.30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21505</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工业和信息产业监管</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26.30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26.30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2150501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11.98</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11.98</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2150502</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14.32</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14.32</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0.90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0.90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0.90</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0.90</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0.90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0.90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tblPrEx>
          <w:shd w:val="clear" w:color="auto" w:fill="auto"/>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tblPrEx>
          <w:shd w:val="clear" w:color="auto" w:fill="auto"/>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 xml:space="preserve">重庆市黔江区大数据应用发展管理局（本级） </w:t>
            </w: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7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tblPrEx>
          <w:shd w:val="clear" w:color="auto" w:fill="auto"/>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7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tblPrEx>
          <w:shd w:val="clear" w:color="auto" w:fill="auto"/>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29.40</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15.08</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14.32</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1.03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0.52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0.52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0.65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0.65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0.65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0.65</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0.65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0.65</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资源勘探工业信息等支出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26.30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11.98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14.32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21505</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工业和信息产业监管</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26.30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11.98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14.32</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2150501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11.98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11.98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2150502</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14.32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14.32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0.90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0.90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0.90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0.90</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0.90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0.90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tblPrEx>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tblPrEx>
          <w:shd w:val="clear" w:color="auto" w:fill="auto"/>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重庆市黔江区大数据应用发展管理局（本级）</w:t>
            </w:r>
          </w:p>
        </w:tc>
        <w:tc>
          <w:tcPr>
            <w:tcW w:w="37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01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tblPrEx>
          <w:shd w:val="clear" w:color="auto" w:fill="auto"/>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7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010"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tblPrEx>
          <w:shd w:val="clear" w:color="auto" w:fill="auto"/>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29.40</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1.55</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1.55</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0.65</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0.65</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26.30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26.30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0.90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0.90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29.40</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29.40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29.40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29.40</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29.40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29.40</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tblPrEx>
          <w:shd w:val="clear" w:color="auto" w:fill="auto"/>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tblPrEx>
          <w:shd w:val="clear" w:color="auto" w:fill="auto"/>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重庆市黔江区大数据应用发展管理局（本级）</w:t>
            </w:r>
          </w:p>
        </w:tc>
        <w:tc>
          <w:tcPr>
            <w:tcW w:w="481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81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821"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tblPrEx>
          <w:shd w:val="clear" w:color="auto" w:fill="auto"/>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821"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tblPrEx>
          <w:shd w:val="clear" w:color="auto" w:fill="auto"/>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shd w:val="clear" w:color="auto" w:fill="auto"/>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29.40</w:t>
            </w:r>
            <w:r>
              <w:rPr>
                <w:rFonts w:hint="eastAsia" w:cs="宋体"/>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15.08</w:t>
            </w:r>
            <w:r>
              <w:rPr>
                <w:rFonts w:hint="eastAsia" w:cs="宋体"/>
                <w:b/>
                <w:bCs/>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14.32</w:t>
            </w: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1.55</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1.55</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1.55</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1.55</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1.03</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1.03</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0.52</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0.52</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0.65</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0.65</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0.65</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0.65</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行政单位医疗</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0.65</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0.65</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资源勘探工业信息等支出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26.30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11.98</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14.32</w:t>
            </w:r>
            <w:r>
              <w:rPr>
                <w:rFonts w:hint="eastAsia" w:cs="宋体"/>
                <w:b/>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21505</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工业和信息产业监管</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26.30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11.98</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14.32</w:t>
            </w:r>
            <w:r>
              <w:rPr>
                <w:rFonts w:hint="eastAsia" w:cs="宋体"/>
                <w:b/>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2150501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11.98</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11.98</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2150502</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14.32</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14.32</w:t>
            </w: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0.90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0.90</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0.90</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0.90</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0.90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0.90</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numPr>
          <w:ilvl w:val="0"/>
          <w:numId w:val="0"/>
        </w:numPr>
        <w:ind w:firstLine="630" w:firstLineChars="300"/>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tblPrEx>
          <w:shd w:val="clear" w:color="auto" w:fill="auto"/>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tblPrEx>
          <w:shd w:val="clear" w:color="auto" w:fill="auto"/>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重庆市黔江区大数据应用发展管理局（本级）</w:t>
            </w:r>
          </w:p>
        </w:tc>
        <w:tc>
          <w:tcPr>
            <w:tcW w:w="282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3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4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50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46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94"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tblPrEx>
          <w:shd w:val="clear" w:color="auto" w:fill="auto"/>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82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122"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330"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47"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50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465"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94"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w:t>
            </w:r>
          </w:p>
        </w:tc>
      </w:tr>
      <w:tr>
        <w:tblPrEx>
          <w:shd w:val="clear" w:color="auto" w:fill="auto"/>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r>
      <w:tr>
        <w:tblPrEx>
          <w:shd w:val="clear" w:color="auto" w:fill="auto"/>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14.24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0.84</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4.18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2.62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4.32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1.03</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0.52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0.65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0.02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0.90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0.84</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14.24</w:t>
            </w:r>
            <w:r>
              <w:rPr>
                <w:rFonts w:hint="eastAsia" w:cs="宋体"/>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0.84</w:t>
            </w: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tblPrEx>
          <w:shd w:val="clear" w:color="auto" w:fill="auto"/>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tblPrEx>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重庆市黔江区大数据应用发展管理局（本级）</w:t>
            </w: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558"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39"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558"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639"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tblPrEx>
          <w:shd w:val="clear" w:color="auto" w:fill="auto"/>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p>
        </w:tc>
        <w:tc>
          <w:tcPr>
            <w:tcW w:w="44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备注：本表反映单位本年度政府性基金预算财政拨款收入支出及结转和结余情况。本单位无政府性基金收支，故本表无数据。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tblPrEx>
          <w:shd w:val="clear" w:color="auto" w:fill="auto"/>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国有资本经营预算财政拨款支出决算表</w:t>
            </w:r>
          </w:p>
        </w:tc>
      </w:tr>
      <w:tr>
        <w:tblPrEx>
          <w:shd w:val="clear" w:color="auto" w:fill="auto"/>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重庆市黔江区大数据应用发展管理局（本级）</w:t>
            </w:r>
          </w:p>
        </w:tc>
        <w:tc>
          <w:tcPr>
            <w:tcW w:w="4736"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42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912"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公开08表</w:t>
            </w:r>
          </w:p>
        </w:tc>
      </w:tr>
      <w:tr>
        <w:tblPrEx>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736"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423"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912"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tblPrEx>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备注：本表反映单位本年度国有资本经营预算财政拨款支出情况。本单位无国有资本经营收支，故本表无数据。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tblPrEx>
          <w:shd w:val="clear" w:color="auto" w:fill="auto"/>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tblPrEx>
          <w:shd w:val="clear" w:color="auto" w:fill="auto"/>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tcMar>
              <w:top w:w="15" w:type="dxa"/>
              <w:left w:w="15" w:type="dxa"/>
              <w:right w:w="15" w:type="dxa"/>
            </w:tcMar>
            <w:vAlign w:val="bottom"/>
          </w:tcPr>
          <w:p>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tblPrEx>
          <w:shd w:val="clear" w:color="auto" w:fill="auto"/>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重庆市黔江区大数据应用发展管理局（本级）</w:t>
            </w:r>
          </w:p>
        </w:tc>
        <w:tc>
          <w:tcPr>
            <w:tcW w:w="3822" w:type="dxa"/>
            <w:tcBorders>
              <w:top w:val="nil"/>
              <w:left w:val="nil"/>
              <w:bottom w:val="nil"/>
              <w:right w:val="nil"/>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0.84</w:t>
            </w: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0.84</w:t>
            </w: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nil"/>
              <w:left w:val="nil"/>
              <w:bottom w:val="single" w:color="auto" w:sz="4" w:space="0"/>
              <w:right w:val="single" w:color="000000"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shd w:val="clear" w:color="auto" w:fill="auto"/>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shd w:val="clear" w:color="auto" w:fill="auto"/>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bl>
    <w:p>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rPr>
          <w:rFonts w:hint="eastAsia" w:ascii="宋体" w:hAnsi="宋体" w:eastAsia="宋体" w:cs="宋体"/>
          <w:color w:val="000000"/>
          <w:sz w:val="21"/>
          <w:szCs w:val="21"/>
          <w:lang w:bidi="ar"/>
        </w:rPr>
      </w:pPr>
    </w:p>
    <w:p>
      <w:pPr>
        <w:pStyle w:val="10"/>
        <w:autoSpaceDE w:val="0"/>
        <w:ind w:firstLine="0" w:firstLineChars="0"/>
        <w:rPr>
          <w:rFonts w:hint="default" w:ascii="宋体" w:hAnsi="宋体" w:eastAsia="宋体"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BC5FD6"/>
    <w:multiLevelType w:val="singleLevel"/>
    <w:tmpl w:val="B0BC5FD6"/>
    <w:lvl w:ilvl="0" w:tentative="0">
      <w:start w:val="1"/>
      <w:numFmt w:val="chineseCounting"/>
      <w:suff w:val="nothing"/>
      <w:lvlText w:val="（%1）"/>
      <w:lvlJc w:val="left"/>
      <w:rPr>
        <w:rFonts w:hint="eastAsia"/>
      </w:rPr>
    </w:lvl>
  </w:abstractNum>
  <w:abstractNum w:abstractNumId="1">
    <w:nsid w:val="2FA229F0"/>
    <w:multiLevelType w:val="singleLevel"/>
    <w:tmpl w:val="2FA229F0"/>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5NTJmYzE3MGVkY2ZlY2E1ZmI1ZmFkNTA4Yzc3YjEifQ=="/>
  </w:docVars>
  <w:rsids>
    <w:rsidRoot w:val="00B03CCD"/>
    <w:rsid w:val="00550ABE"/>
    <w:rsid w:val="007B419D"/>
    <w:rsid w:val="009B67B8"/>
    <w:rsid w:val="00B03CCD"/>
    <w:rsid w:val="00F73F90"/>
    <w:rsid w:val="01474EBF"/>
    <w:rsid w:val="01F3521E"/>
    <w:rsid w:val="03B87EA0"/>
    <w:rsid w:val="03E3214F"/>
    <w:rsid w:val="044C50BA"/>
    <w:rsid w:val="05524683"/>
    <w:rsid w:val="05BC6D49"/>
    <w:rsid w:val="06194FF1"/>
    <w:rsid w:val="06A2550B"/>
    <w:rsid w:val="06F80EE2"/>
    <w:rsid w:val="07001CCA"/>
    <w:rsid w:val="075678DB"/>
    <w:rsid w:val="079D7CC7"/>
    <w:rsid w:val="08051BCA"/>
    <w:rsid w:val="086C12F4"/>
    <w:rsid w:val="08705944"/>
    <w:rsid w:val="08BA052C"/>
    <w:rsid w:val="08DB07BA"/>
    <w:rsid w:val="0969353F"/>
    <w:rsid w:val="098305D0"/>
    <w:rsid w:val="0A0B6484"/>
    <w:rsid w:val="0A3317EA"/>
    <w:rsid w:val="0A5C4B69"/>
    <w:rsid w:val="0A86124A"/>
    <w:rsid w:val="0AB54CC0"/>
    <w:rsid w:val="0AFDA59B"/>
    <w:rsid w:val="0B9335CE"/>
    <w:rsid w:val="0BF2311A"/>
    <w:rsid w:val="0C7927C4"/>
    <w:rsid w:val="0C9B098C"/>
    <w:rsid w:val="0D673E11"/>
    <w:rsid w:val="0DDA54E4"/>
    <w:rsid w:val="0E3A5F83"/>
    <w:rsid w:val="0F8139A6"/>
    <w:rsid w:val="0F836721"/>
    <w:rsid w:val="0FA25D96"/>
    <w:rsid w:val="107B59E5"/>
    <w:rsid w:val="10EC0126"/>
    <w:rsid w:val="10F70B9A"/>
    <w:rsid w:val="111445C7"/>
    <w:rsid w:val="114278C6"/>
    <w:rsid w:val="1158083A"/>
    <w:rsid w:val="11643A4B"/>
    <w:rsid w:val="11ED0F98"/>
    <w:rsid w:val="11F03528"/>
    <w:rsid w:val="12C921C4"/>
    <w:rsid w:val="133049D9"/>
    <w:rsid w:val="13871C70"/>
    <w:rsid w:val="13A71CB4"/>
    <w:rsid w:val="13AF1D43"/>
    <w:rsid w:val="13CE1647"/>
    <w:rsid w:val="13FD55AB"/>
    <w:rsid w:val="14200702"/>
    <w:rsid w:val="163A6CEE"/>
    <w:rsid w:val="173708E3"/>
    <w:rsid w:val="17C374FC"/>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1E95E1F"/>
    <w:rsid w:val="22403BD3"/>
    <w:rsid w:val="232B3C7F"/>
    <w:rsid w:val="24B92327"/>
    <w:rsid w:val="24C14514"/>
    <w:rsid w:val="2533755C"/>
    <w:rsid w:val="25791755"/>
    <w:rsid w:val="26396DF4"/>
    <w:rsid w:val="27167136"/>
    <w:rsid w:val="27B23302"/>
    <w:rsid w:val="29310A5F"/>
    <w:rsid w:val="29C37A35"/>
    <w:rsid w:val="2A076083"/>
    <w:rsid w:val="2A73162E"/>
    <w:rsid w:val="2B026E33"/>
    <w:rsid w:val="2B167953"/>
    <w:rsid w:val="2B200583"/>
    <w:rsid w:val="2B8209DE"/>
    <w:rsid w:val="2C6762A3"/>
    <w:rsid w:val="2D94002F"/>
    <w:rsid w:val="2E0366FF"/>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5E6740F"/>
    <w:rsid w:val="36C9128A"/>
    <w:rsid w:val="37841E99"/>
    <w:rsid w:val="378576E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EBC6364"/>
    <w:rsid w:val="3F032E93"/>
    <w:rsid w:val="3F0527E5"/>
    <w:rsid w:val="3F694D83"/>
    <w:rsid w:val="3F885DCC"/>
    <w:rsid w:val="3FCD675E"/>
    <w:rsid w:val="4004000C"/>
    <w:rsid w:val="411B6CE5"/>
    <w:rsid w:val="412070D7"/>
    <w:rsid w:val="41314E40"/>
    <w:rsid w:val="41B70A40"/>
    <w:rsid w:val="41E0734B"/>
    <w:rsid w:val="426C1EA8"/>
    <w:rsid w:val="42736402"/>
    <w:rsid w:val="42E86A87"/>
    <w:rsid w:val="43307B09"/>
    <w:rsid w:val="438C4686"/>
    <w:rsid w:val="439A3EB9"/>
    <w:rsid w:val="43BB152F"/>
    <w:rsid w:val="44C37687"/>
    <w:rsid w:val="45CB699A"/>
    <w:rsid w:val="463D70CE"/>
    <w:rsid w:val="465B470D"/>
    <w:rsid w:val="469D6AD4"/>
    <w:rsid w:val="471E6C84"/>
    <w:rsid w:val="4748792B"/>
    <w:rsid w:val="475D719D"/>
    <w:rsid w:val="47674801"/>
    <w:rsid w:val="48225EF7"/>
    <w:rsid w:val="48590808"/>
    <w:rsid w:val="488F422B"/>
    <w:rsid w:val="48E36915"/>
    <w:rsid w:val="495C4A24"/>
    <w:rsid w:val="497135DF"/>
    <w:rsid w:val="4A263DF2"/>
    <w:rsid w:val="4A6F6675"/>
    <w:rsid w:val="4B135857"/>
    <w:rsid w:val="4B7951CB"/>
    <w:rsid w:val="4B7C315C"/>
    <w:rsid w:val="4C163ED9"/>
    <w:rsid w:val="4DAC4ACA"/>
    <w:rsid w:val="4DBE01D2"/>
    <w:rsid w:val="4F0C6BA3"/>
    <w:rsid w:val="4F186D58"/>
    <w:rsid w:val="4F3C1AF7"/>
    <w:rsid w:val="50F06B6E"/>
    <w:rsid w:val="51641572"/>
    <w:rsid w:val="51D21804"/>
    <w:rsid w:val="52234D33"/>
    <w:rsid w:val="522F6E0C"/>
    <w:rsid w:val="52463BA1"/>
    <w:rsid w:val="52F163D4"/>
    <w:rsid w:val="531A2DB4"/>
    <w:rsid w:val="5347637F"/>
    <w:rsid w:val="53C0244D"/>
    <w:rsid w:val="53DD4D4E"/>
    <w:rsid w:val="53E578CE"/>
    <w:rsid w:val="541330F0"/>
    <w:rsid w:val="54272666"/>
    <w:rsid w:val="543B029D"/>
    <w:rsid w:val="545B26AF"/>
    <w:rsid w:val="54861779"/>
    <w:rsid w:val="552256E1"/>
    <w:rsid w:val="554E5773"/>
    <w:rsid w:val="555A3CBC"/>
    <w:rsid w:val="5582012B"/>
    <w:rsid w:val="558E4E05"/>
    <w:rsid w:val="55BE2E85"/>
    <w:rsid w:val="56530F5D"/>
    <w:rsid w:val="567700D3"/>
    <w:rsid w:val="56C35D69"/>
    <w:rsid w:val="56FF7E9E"/>
    <w:rsid w:val="578867FC"/>
    <w:rsid w:val="5842572D"/>
    <w:rsid w:val="5A3B59D6"/>
    <w:rsid w:val="5AD134D8"/>
    <w:rsid w:val="5AF9140E"/>
    <w:rsid w:val="5C263CE4"/>
    <w:rsid w:val="5C5D2777"/>
    <w:rsid w:val="5C9A3412"/>
    <w:rsid w:val="5CF66BF3"/>
    <w:rsid w:val="5D290C69"/>
    <w:rsid w:val="5E973B2A"/>
    <w:rsid w:val="5F2D4A41"/>
    <w:rsid w:val="60C74F6C"/>
    <w:rsid w:val="61025A59"/>
    <w:rsid w:val="613D5BBC"/>
    <w:rsid w:val="61536C39"/>
    <w:rsid w:val="624306C3"/>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AD2300"/>
    <w:rsid w:val="6AC67E93"/>
    <w:rsid w:val="6B474EF5"/>
    <w:rsid w:val="6BCA4DEE"/>
    <w:rsid w:val="6C560CAE"/>
    <w:rsid w:val="6C576495"/>
    <w:rsid w:val="6D903FF5"/>
    <w:rsid w:val="6DA955B8"/>
    <w:rsid w:val="6DE346AB"/>
    <w:rsid w:val="6DE5391A"/>
    <w:rsid w:val="6E0D2E31"/>
    <w:rsid w:val="6EFD1324"/>
    <w:rsid w:val="6F5A53AC"/>
    <w:rsid w:val="6FAC003D"/>
    <w:rsid w:val="6FE55E12"/>
    <w:rsid w:val="6FFB2E76"/>
    <w:rsid w:val="708F6F7F"/>
    <w:rsid w:val="70D94BD3"/>
    <w:rsid w:val="71C34D91"/>
    <w:rsid w:val="72DB435C"/>
    <w:rsid w:val="72E2613A"/>
    <w:rsid w:val="72F771F4"/>
    <w:rsid w:val="73880176"/>
    <w:rsid w:val="73934AD2"/>
    <w:rsid w:val="74B12342"/>
    <w:rsid w:val="750837F0"/>
    <w:rsid w:val="754758CF"/>
    <w:rsid w:val="764F62AB"/>
    <w:rsid w:val="765C45EC"/>
    <w:rsid w:val="768A7619"/>
    <w:rsid w:val="772E1EBA"/>
    <w:rsid w:val="781926BC"/>
    <w:rsid w:val="796D60A4"/>
    <w:rsid w:val="79A031D5"/>
    <w:rsid w:val="7A1525F7"/>
    <w:rsid w:val="7B420052"/>
    <w:rsid w:val="7B5A6714"/>
    <w:rsid w:val="7BD06A28"/>
    <w:rsid w:val="7C0A4C9B"/>
    <w:rsid w:val="7C3A7C0B"/>
    <w:rsid w:val="7C5248E4"/>
    <w:rsid w:val="7C566698"/>
    <w:rsid w:val="7C5866A3"/>
    <w:rsid w:val="7D7406BB"/>
    <w:rsid w:val="7DE94331"/>
    <w:rsid w:val="7E7F534D"/>
    <w:rsid w:val="7F2C7D5A"/>
    <w:rsid w:val="7F446A19"/>
    <w:rsid w:val="7F7452B9"/>
    <w:rsid w:val="7FA25320"/>
    <w:rsid w:val="FFC244F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paragraph" w:customStyle="1" w:styleId="10">
    <w:name w:val="列出段落1"/>
    <w:basedOn w:val="1"/>
    <w:qFormat/>
    <w:uiPriority w:val="99"/>
    <w:pPr>
      <w:ind w:firstLine="420" w:firstLineChars="200"/>
    </w:pPr>
    <w:rPr>
      <w:rFonts w:hint="default"/>
    </w:rPr>
  </w:style>
  <w:style w:type="paragraph" w:customStyle="1" w:styleId="11">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2">
    <w:name w:val="21"/>
    <w:qFormat/>
    <w:uiPriority w:val="0"/>
    <w:rPr>
      <w:rFonts w:hint="default" w:ascii="Wingdings" w:hAnsi="Wingdings" w:cs="Wingdings"/>
      <w:b/>
      <w:bCs/>
    </w:rPr>
  </w:style>
  <w:style w:type="paragraph" w:customStyle="1" w:styleId="13">
    <w:name w:val="List Paragraph"/>
    <w:qFormat/>
    <w:uiPriority w:val="99"/>
    <w:pPr>
      <w:ind w:firstLine="420" w:firstLineChars="200"/>
    </w:pPr>
    <w:rPr>
      <w:rFonts w:hint="default"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7923</Words>
  <Characters>9293</Characters>
  <Lines>161</Lines>
  <Paragraphs>45</Paragraphs>
  <TotalTime>0</TotalTime>
  <ScaleCrop>false</ScaleCrop>
  <LinksUpToDate>false</LinksUpToDate>
  <CharactersWithSpaces>10313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Administrator</cp:lastModifiedBy>
  <dcterms:modified xsi:type="dcterms:W3CDTF">2025-09-23T07:56:39Z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BB46EABDBB2749749395447164B066B3_12</vt:lpwstr>
  </property>
</Properties>
</file>